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360" w:lineRule="auto"/>
        <w:jc w:val="left"/>
        <w:textAlignment w:val="center"/>
        <w:rPr>
          <w:rFonts w:hint="eastAsia" w:ascii="仿宋_GB2312" w:hAnsi="仿宋_GB2312" w:eastAsia="仿宋_GB2312" w:cs="仿宋_GB2312"/>
          <w:b/>
          <w:bCs/>
          <w:i w:val="0"/>
          <w:iCs w:val="0"/>
          <w:color w:val="000000"/>
          <w:kern w:val="0"/>
          <w:sz w:val="36"/>
          <w:szCs w:val="36"/>
          <w:u w:val="none"/>
          <w:lang w:val="en-US" w:eastAsia="zh-CN" w:bidi="ar"/>
        </w:rPr>
      </w:pPr>
      <w:bookmarkStart w:id="0" w:name="_GoBack"/>
      <w:bookmarkEnd w:id="0"/>
      <w:r>
        <w:rPr>
          <w:rFonts w:hint="eastAsia" w:ascii="仿宋_GB2312" w:hAnsi="仿宋_GB2312" w:eastAsia="仿宋_GB2312" w:cs="仿宋_GB2312"/>
          <w:b/>
          <w:bCs/>
          <w:i w:val="0"/>
          <w:iCs w:val="0"/>
          <w:color w:val="000000"/>
          <w:kern w:val="0"/>
          <w:sz w:val="36"/>
          <w:szCs w:val="36"/>
          <w:u w:val="none"/>
          <w:lang w:val="en-US" w:eastAsia="zh-CN" w:bidi="ar"/>
        </w:rPr>
        <w:t>附件1：申报参照工种</w:t>
      </w:r>
    </w:p>
    <w:tbl>
      <w:tblPr>
        <w:tblStyle w:val="7"/>
        <w:tblW w:w="8940" w:type="dxa"/>
        <w:tblInd w:w="9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60"/>
        <w:gridCol w:w="1120"/>
        <w:gridCol w:w="2232"/>
        <w:gridCol w:w="1500"/>
        <w:gridCol w:w="34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序号</w:t>
            </w:r>
          </w:p>
        </w:tc>
        <w:tc>
          <w:tcPr>
            <w:tcW w:w="11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隶属学院</w:t>
            </w:r>
          </w:p>
        </w:tc>
        <w:tc>
          <w:tcPr>
            <w:tcW w:w="2232"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招生专业</w:t>
            </w:r>
          </w:p>
        </w:tc>
        <w:tc>
          <w:tcPr>
            <w:tcW w:w="150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毕业生人数</w:t>
            </w:r>
          </w:p>
        </w:tc>
        <w:tc>
          <w:tcPr>
            <w:tcW w:w="3428"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职业（工种）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66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112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马克思主义学院</w:t>
            </w:r>
          </w:p>
        </w:tc>
        <w:tc>
          <w:tcPr>
            <w:tcW w:w="2232"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社会体育指导与管理</w:t>
            </w:r>
          </w:p>
        </w:tc>
        <w:tc>
          <w:tcPr>
            <w:tcW w:w="150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72</w:t>
            </w:r>
          </w:p>
        </w:tc>
        <w:tc>
          <w:tcPr>
            <w:tcW w:w="3428"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社会体育指导员*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2" w:hRule="atLeast"/>
        </w:trPr>
        <w:tc>
          <w:tcPr>
            <w:tcW w:w="66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12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2232"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50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3428"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体育经纪人*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12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2232"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50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3428"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游泳救生员*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2" w:hRule="atLeast"/>
        </w:trPr>
        <w:tc>
          <w:tcPr>
            <w:tcW w:w="660" w:type="dxa"/>
            <w:vMerge w:val="restart"/>
            <w:tcBorders>
              <w:tl2br w:val="nil"/>
              <w:tr2bl w:val="nil"/>
            </w:tcBorders>
            <w:shd w:val="clear" w:color="auto" w:fill="auto"/>
            <w:vAlign w:val="center"/>
          </w:tcPr>
          <w:p>
            <w:pPr>
              <w:jc w:val="center"/>
              <w:rPr>
                <w:rFonts w:hint="eastAsia" w:ascii="Times New Roman" w:hAnsi="Times New Roman" w:eastAsia="仿宋_GB2312" w:cs="Times New Roman"/>
                <w:i w:val="0"/>
                <w:iCs w:val="0"/>
                <w:color w:val="000000"/>
                <w:sz w:val="21"/>
                <w:szCs w:val="21"/>
                <w:u w:val="none"/>
                <w:lang w:val="en-US" w:eastAsia="zh-CN"/>
              </w:rPr>
            </w:pPr>
            <w:r>
              <w:rPr>
                <w:rFonts w:hint="eastAsia" w:ascii="Times New Roman" w:hAnsi="Times New Roman" w:eastAsia="仿宋_GB2312" w:cs="Times New Roman"/>
                <w:i w:val="0"/>
                <w:iCs w:val="0"/>
                <w:color w:val="000000"/>
                <w:sz w:val="21"/>
                <w:szCs w:val="21"/>
                <w:u w:val="none"/>
                <w:lang w:val="en-US" w:eastAsia="zh-CN"/>
              </w:rPr>
              <w:t>2</w:t>
            </w:r>
          </w:p>
        </w:tc>
        <w:tc>
          <w:tcPr>
            <w:tcW w:w="112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2232" w:type="dxa"/>
            <w:vMerge w:val="restart"/>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思想政治教育</w:t>
            </w:r>
          </w:p>
        </w:tc>
        <w:tc>
          <w:tcPr>
            <w:tcW w:w="1500" w:type="dxa"/>
            <w:vMerge w:val="restart"/>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　</w:t>
            </w:r>
          </w:p>
        </w:tc>
        <w:tc>
          <w:tcPr>
            <w:tcW w:w="3428"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婚姻家庭咨询师*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2" w:hRule="atLeast"/>
        </w:trPr>
        <w:tc>
          <w:tcPr>
            <w:tcW w:w="66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12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2232"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50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3428"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心理咨询师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2" w:hRule="atLeast"/>
        </w:trPr>
        <w:tc>
          <w:tcPr>
            <w:tcW w:w="66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12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2232"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50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3428"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劳动关系协调员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w:t>
            </w:r>
          </w:p>
        </w:tc>
        <w:tc>
          <w:tcPr>
            <w:tcW w:w="112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生命健康学院</w:t>
            </w:r>
          </w:p>
        </w:tc>
        <w:tc>
          <w:tcPr>
            <w:tcW w:w="2232"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制药工程</w:t>
            </w:r>
          </w:p>
        </w:tc>
        <w:tc>
          <w:tcPr>
            <w:tcW w:w="150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71</w:t>
            </w:r>
          </w:p>
        </w:tc>
        <w:tc>
          <w:tcPr>
            <w:tcW w:w="3428"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药物制剂工*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w:t>
            </w:r>
          </w:p>
        </w:tc>
        <w:tc>
          <w:tcPr>
            <w:tcW w:w="112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2232"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生物工程</w:t>
            </w:r>
          </w:p>
        </w:tc>
        <w:tc>
          <w:tcPr>
            <w:tcW w:w="150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29</w:t>
            </w:r>
          </w:p>
        </w:tc>
        <w:tc>
          <w:tcPr>
            <w:tcW w:w="3428"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酱油酱类制作工*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66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w:t>
            </w:r>
          </w:p>
        </w:tc>
        <w:tc>
          <w:tcPr>
            <w:tcW w:w="112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2232"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护理学</w:t>
            </w:r>
          </w:p>
        </w:tc>
        <w:tc>
          <w:tcPr>
            <w:tcW w:w="150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349</w:t>
            </w:r>
          </w:p>
        </w:tc>
        <w:tc>
          <w:tcPr>
            <w:tcW w:w="3428"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康复辅助技术咨询师*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6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12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2232"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50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3428"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美容师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2" w:hRule="atLeast"/>
        </w:trPr>
        <w:tc>
          <w:tcPr>
            <w:tcW w:w="66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12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2232"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50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3428"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lang w:val="en-US"/>
              </w:rPr>
            </w:pPr>
            <w:r>
              <w:rPr>
                <w:rFonts w:hint="default" w:ascii="Times New Roman" w:hAnsi="Times New Roman" w:eastAsia="仿宋_GB2312" w:cs="Times New Roman"/>
                <w:i w:val="0"/>
                <w:iCs w:val="0"/>
                <w:color w:val="000000"/>
                <w:kern w:val="0"/>
                <w:sz w:val="21"/>
                <w:szCs w:val="21"/>
                <w:u w:val="none"/>
                <w:lang w:val="en-US" w:eastAsia="zh-CN" w:bidi="ar"/>
              </w:rPr>
              <w:t>健康照护师</w:t>
            </w:r>
            <w:r>
              <w:rPr>
                <w:rFonts w:hint="eastAsia" w:ascii="Times New Roman" w:hAnsi="Times New Roman" w:eastAsia="仿宋_GB2312" w:cs="Times New Roman"/>
                <w:i w:val="0"/>
                <w:iCs w:val="0"/>
                <w:color w:val="000000"/>
                <w:kern w:val="0"/>
                <w:sz w:val="21"/>
                <w:szCs w:val="21"/>
                <w:u w:val="none"/>
                <w:lang w:val="en-US" w:eastAsia="zh-CN" w:bidi="ar"/>
              </w:rPr>
              <w:t>(有）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66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12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2232"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50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3428"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老年人能力评估师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66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12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2232"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50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3428"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保健按摩师*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4" w:hRule="atLeast"/>
        </w:trPr>
        <w:tc>
          <w:tcPr>
            <w:tcW w:w="66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12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2232"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50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3428"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家政服务员*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66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12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2232"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50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3428"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养老护理员*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66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12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2232"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50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3428"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育婴员*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66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12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2232"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50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3428"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生殖健康咨询师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12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2232"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50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3428"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宠物健康护理员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5" w:hRule="atLeast"/>
        </w:trPr>
        <w:tc>
          <w:tcPr>
            <w:tcW w:w="66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w:t>
            </w:r>
          </w:p>
        </w:tc>
        <w:tc>
          <w:tcPr>
            <w:tcW w:w="112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智能制造学院</w:t>
            </w:r>
          </w:p>
        </w:tc>
        <w:tc>
          <w:tcPr>
            <w:tcW w:w="2232"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电气工程及其自动化</w:t>
            </w:r>
          </w:p>
        </w:tc>
        <w:tc>
          <w:tcPr>
            <w:tcW w:w="150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73</w:t>
            </w:r>
          </w:p>
        </w:tc>
        <w:tc>
          <w:tcPr>
            <w:tcW w:w="3428"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物联网安装调试员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66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12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2232"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50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3428"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广电和通信设备调试工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9" w:hRule="atLeast"/>
        </w:trPr>
        <w:tc>
          <w:tcPr>
            <w:tcW w:w="66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12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2232"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50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3428"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电气设备安装工*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12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2232"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50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3428"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机械设备安装工*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2" w:hRule="atLeast"/>
        </w:trPr>
        <w:tc>
          <w:tcPr>
            <w:tcW w:w="66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12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2232"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50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3428"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智能制造工程技术人员*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66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7</w:t>
            </w:r>
          </w:p>
        </w:tc>
        <w:tc>
          <w:tcPr>
            <w:tcW w:w="112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2232"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新能源材料与器件</w:t>
            </w:r>
          </w:p>
        </w:tc>
        <w:tc>
          <w:tcPr>
            <w:tcW w:w="150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　</w:t>
            </w:r>
          </w:p>
        </w:tc>
        <w:tc>
          <w:tcPr>
            <w:tcW w:w="3428"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太阳能利用工*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2" w:hRule="atLeast"/>
        </w:trPr>
        <w:tc>
          <w:tcPr>
            <w:tcW w:w="66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12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2232"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50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3428"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半导体芯片制造工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0" w:hRule="atLeast"/>
        </w:trPr>
        <w:tc>
          <w:tcPr>
            <w:tcW w:w="66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8</w:t>
            </w:r>
          </w:p>
        </w:tc>
        <w:tc>
          <w:tcPr>
            <w:tcW w:w="112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2232"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材料化学</w:t>
            </w:r>
          </w:p>
        </w:tc>
        <w:tc>
          <w:tcPr>
            <w:tcW w:w="150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77</w:t>
            </w:r>
          </w:p>
        </w:tc>
        <w:tc>
          <w:tcPr>
            <w:tcW w:w="3428"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化工总控工*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2" w:hRule="atLeast"/>
        </w:trPr>
        <w:tc>
          <w:tcPr>
            <w:tcW w:w="66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12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2232"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50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3428"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无机化学反应生产工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66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12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2232"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50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3428"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有机合成工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66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12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2232"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50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3428"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工业固体废物处理处置工*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2" w:hRule="atLeast"/>
        </w:trPr>
        <w:tc>
          <w:tcPr>
            <w:tcW w:w="660" w:type="dxa"/>
            <w:vMerge w:val="restart"/>
            <w:tcBorders>
              <w:tl2br w:val="nil"/>
              <w:tr2bl w:val="nil"/>
            </w:tcBorders>
            <w:shd w:val="clear" w:color="auto" w:fill="auto"/>
            <w:vAlign w:val="center"/>
          </w:tcPr>
          <w:p>
            <w:pPr>
              <w:jc w:val="center"/>
              <w:rPr>
                <w:rFonts w:hint="eastAsia" w:ascii="Times New Roman" w:hAnsi="Times New Roman" w:eastAsia="仿宋_GB2312" w:cs="Times New Roman"/>
                <w:i w:val="0"/>
                <w:iCs w:val="0"/>
                <w:color w:val="000000"/>
                <w:sz w:val="21"/>
                <w:szCs w:val="21"/>
                <w:u w:val="none"/>
                <w:lang w:val="en-US" w:eastAsia="zh-CN"/>
              </w:rPr>
            </w:pPr>
            <w:r>
              <w:rPr>
                <w:rFonts w:hint="eastAsia" w:ascii="Times New Roman" w:hAnsi="Times New Roman" w:eastAsia="仿宋_GB2312" w:cs="Times New Roman"/>
                <w:i w:val="0"/>
                <w:iCs w:val="0"/>
                <w:color w:val="000000"/>
                <w:sz w:val="21"/>
                <w:szCs w:val="21"/>
                <w:u w:val="none"/>
                <w:lang w:val="en-US" w:eastAsia="zh-CN"/>
              </w:rPr>
              <w:t>9</w:t>
            </w:r>
          </w:p>
        </w:tc>
        <w:tc>
          <w:tcPr>
            <w:tcW w:w="112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2232" w:type="dxa"/>
            <w:vMerge w:val="restart"/>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机械设计制作及其自动化</w:t>
            </w:r>
          </w:p>
        </w:tc>
        <w:tc>
          <w:tcPr>
            <w:tcW w:w="1500" w:type="dxa"/>
            <w:vMerge w:val="restart"/>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102</w:t>
            </w:r>
          </w:p>
        </w:tc>
        <w:tc>
          <w:tcPr>
            <w:tcW w:w="3428"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焊工*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66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12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2232"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50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3428"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电工*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66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12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2232"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50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3428"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钳工*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66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12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2232"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50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3428"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车工*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5" w:hRule="atLeast"/>
        </w:trPr>
        <w:tc>
          <w:tcPr>
            <w:tcW w:w="66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12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2232"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50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3428"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铣工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66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12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2232"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50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3428"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磨工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66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12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2232"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50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3428"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机床装调维修工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66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12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2232"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50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3428"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中央空调系统运行操作员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66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12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2232"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50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3428"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无人机测绘操控员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12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2232"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50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3428"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电梯安装维修工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66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12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2232"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50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3428"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起重装卸机械操作工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2" w:hRule="atLeast"/>
        </w:trPr>
        <w:tc>
          <w:tcPr>
            <w:tcW w:w="66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12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2232"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50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3428"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汽车维修工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2" w:hRule="atLeast"/>
        </w:trPr>
        <w:tc>
          <w:tcPr>
            <w:tcW w:w="66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w:t>
            </w:r>
          </w:p>
        </w:tc>
        <w:tc>
          <w:tcPr>
            <w:tcW w:w="112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电子信息学院</w:t>
            </w:r>
          </w:p>
        </w:tc>
        <w:tc>
          <w:tcPr>
            <w:tcW w:w="2232"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软件工程</w:t>
            </w:r>
          </w:p>
        </w:tc>
        <w:tc>
          <w:tcPr>
            <w:tcW w:w="150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　</w:t>
            </w:r>
          </w:p>
        </w:tc>
        <w:tc>
          <w:tcPr>
            <w:tcW w:w="3428"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信息安全测试员*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12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2232"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50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3428"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网络与信息安全管理员*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66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12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2232"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50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3428"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工业机器人系统操作员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4" w:hRule="atLeast"/>
        </w:trPr>
        <w:tc>
          <w:tcPr>
            <w:tcW w:w="66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12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2232"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50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3428"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区块链工程技术人员*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66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12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2232"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50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3428"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区块链应用操作员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66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12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2232"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50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3428"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科技咨询师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12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2232"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50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3428"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人工智能工程技术人员*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66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12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2232"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50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3428"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物联网工程技术人员*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2" w:hRule="atLeast"/>
        </w:trPr>
        <w:tc>
          <w:tcPr>
            <w:tcW w:w="66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12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2232"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50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3428"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大数据工程技术人员*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66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12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2232"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50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3428"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云计算工程技术人员*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66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12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2232"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50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3428"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数字化管理师*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66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12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2232"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50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3428"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虚拟现实工程技术人员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2" w:hRule="atLeast"/>
        </w:trPr>
        <w:tc>
          <w:tcPr>
            <w:tcW w:w="66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11</w:t>
            </w:r>
          </w:p>
        </w:tc>
        <w:tc>
          <w:tcPr>
            <w:tcW w:w="112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2232"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电子信息工程</w:t>
            </w:r>
          </w:p>
        </w:tc>
        <w:tc>
          <w:tcPr>
            <w:tcW w:w="150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60</w:t>
            </w:r>
          </w:p>
        </w:tc>
        <w:tc>
          <w:tcPr>
            <w:tcW w:w="3428"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电子数据取证分析师*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2" w:hRule="atLeast"/>
        </w:trPr>
        <w:tc>
          <w:tcPr>
            <w:tcW w:w="66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12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2232"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50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3428"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智能硬件装调员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66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12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2232"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50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3428"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密码技术应用员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2" w:hRule="atLeast"/>
        </w:trPr>
        <w:tc>
          <w:tcPr>
            <w:tcW w:w="66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12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2232"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50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3428"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工业机器人系统运维员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2" w:hRule="atLeast"/>
        </w:trPr>
        <w:tc>
          <w:tcPr>
            <w:tcW w:w="66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12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2232"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50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3428"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半导体分立器件和集成电路装调工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66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12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2232"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50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3428"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工业互联网工程技术人员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66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12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2232"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50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3428"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信息通信网络运行管理员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66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12</w:t>
            </w:r>
          </w:p>
        </w:tc>
        <w:tc>
          <w:tcPr>
            <w:tcW w:w="112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2232"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计算机科学与技术</w:t>
            </w:r>
          </w:p>
        </w:tc>
        <w:tc>
          <w:tcPr>
            <w:tcW w:w="150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181</w:t>
            </w:r>
          </w:p>
        </w:tc>
        <w:tc>
          <w:tcPr>
            <w:tcW w:w="3428"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计算机程序设计员*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2" w:hRule="atLeast"/>
        </w:trPr>
        <w:tc>
          <w:tcPr>
            <w:tcW w:w="66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12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2232"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50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3428"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服务机器人应用技术员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6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12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2232"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50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3428"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计算机维修工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2" w:hRule="atLeast"/>
        </w:trPr>
        <w:tc>
          <w:tcPr>
            <w:tcW w:w="66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12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2232"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50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3428"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人工智能训练师*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13</w:t>
            </w:r>
          </w:p>
        </w:tc>
        <w:tc>
          <w:tcPr>
            <w:tcW w:w="112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2232"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光电信息科学与工程</w:t>
            </w:r>
          </w:p>
        </w:tc>
        <w:tc>
          <w:tcPr>
            <w:tcW w:w="150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31</w:t>
            </w:r>
          </w:p>
        </w:tc>
        <w:tc>
          <w:tcPr>
            <w:tcW w:w="3428"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集成电路工程技术人员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2" w:hRule="atLeast"/>
        </w:trPr>
        <w:tc>
          <w:tcPr>
            <w:tcW w:w="66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14</w:t>
            </w:r>
          </w:p>
        </w:tc>
        <w:tc>
          <w:tcPr>
            <w:tcW w:w="112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设计学院</w:t>
            </w:r>
          </w:p>
        </w:tc>
        <w:tc>
          <w:tcPr>
            <w:tcW w:w="2232"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设计学类（产品设计）</w:t>
            </w:r>
          </w:p>
        </w:tc>
        <w:tc>
          <w:tcPr>
            <w:tcW w:w="150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　</w:t>
            </w:r>
          </w:p>
        </w:tc>
        <w:tc>
          <w:tcPr>
            <w:tcW w:w="3428"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印前处理和制作员*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6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12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2232"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50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3428"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印后制作员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66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12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2232"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50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3428"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会展设计师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2" w:hRule="atLeast"/>
        </w:trPr>
        <w:tc>
          <w:tcPr>
            <w:tcW w:w="66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12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2232"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50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3428"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装饰美工*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66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12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2232"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50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3428"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咖啡师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2" w:hRule="atLeast"/>
        </w:trPr>
        <w:tc>
          <w:tcPr>
            <w:tcW w:w="66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12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2232"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50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3428"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首饰设计师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2" w:hRule="atLeast"/>
        </w:trPr>
        <w:tc>
          <w:tcPr>
            <w:tcW w:w="66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12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2232"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50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3428"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家用纺织品设计师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66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12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2232"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50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3428"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包装设计师*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66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12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2232"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50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3428"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玩具设计师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66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12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2232"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50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3428"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纺织面料设计师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66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12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2232"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50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3428"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家用纺织品设计师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2" w:hRule="atLeast"/>
        </w:trPr>
        <w:tc>
          <w:tcPr>
            <w:tcW w:w="66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12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2232"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50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3428" w:type="dxa"/>
            <w:tcBorders>
              <w:tl2br w:val="nil"/>
              <w:tr2bl w:val="nil"/>
            </w:tcBorders>
            <w:shd w:val="clear" w:color="auto" w:fill="auto"/>
            <w:vAlign w:val="center"/>
          </w:tcPr>
          <w:p>
            <w:pPr>
              <w:keepNext w:val="0"/>
              <w:keepLines w:val="0"/>
              <w:widowControl/>
              <w:suppressLineNumbers w:val="0"/>
              <w:tabs>
                <w:tab w:val="left" w:pos="605"/>
              </w:tabs>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陶瓷产品设计师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2" w:hRule="atLeast"/>
        </w:trPr>
        <w:tc>
          <w:tcPr>
            <w:tcW w:w="66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12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2232"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50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3428" w:type="dxa"/>
            <w:tcBorders>
              <w:tl2br w:val="nil"/>
              <w:tr2bl w:val="nil"/>
            </w:tcBorders>
            <w:shd w:val="clear" w:color="auto" w:fill="auto"/>
            <w:vAlign w:val="center"/>
          </w:tcPr>
          <w:p>
            <w:pPr>
              <w:keepNext w:val="0"/>
              <w:keepLines w:val="0"/>
              <w:widowControl/>
              <w:suppressLineNumbers w:val="0"/>
              <w:tabs>
                <w:tab w:val="left" w:pos="605"/>
              </w:tabs>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陶瓷工艺师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2" w:hRule="atLeast"/>
        </w:trPr>
        <w:tc>
          <w:tcPr>
            <w:tcW w:w="66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12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2232"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50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3428" w:type="dxa"/>
            <w:tcBorders>
              <w:tl2br w:val="nil"/>
              <w:tr2bl w:val="nil"/>
            </w:tcBorders>
            <w:shd w:val="clear" w:color="auto" w:fill="auto"/>
            <w:vAlign w:val="center"/>
          </w:tcPr>
          <w:p>
            <w:pPr>
              <w:keepNext w:val="0"/>
              <w:keepLines w:val="0"/>
              <w:widowControl/>
              <w:suppressLineNumbers w:val="0"/>
              <w:tabs>
                <w:tab w:val="left" w:pos="605"/>
              </w:tabs>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调酒师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2" w:hRule="atLeast"/>
        </w:trPr>
        <w:tc>
          <w:tcPr>
            <w:tcW w:w="66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12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2232"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50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3428"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花艺环境设计师*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66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12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2232"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50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3428"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园林绿化工*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2" w:hRule="atLeast"/>
        </w:trPr>
        <w:tc>
          <w:tcPr>
            <w:tcW w:w="66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12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2232"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50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3428"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草坪园艺师*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66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16</w:t>
            </w:r>
          </w:p>
        </w:tc>
        <w:tc>
          <w:tcPr>
            <w:tcW w:w="112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2232"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设计学类（视觉传达设计）</w:t>
            </w:r>
          </w:p>
        </w:tc>
        <w:tc>
          <w:tcPr>
            <w:tcW w:w="150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82</w:t>
            </w:r>
          </w:p>
        </w:tc>
        <w:tc>
          <w:tcPr>
            <w:tcW w:w="3428"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色彩搭配师*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2" w:hRule="atLeast"/>
        </w:trPr>
        <w:tc>
          <w:tcPr>
            <w:tcW w:w="66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12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2232"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50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3428"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照明设计师*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2" w:hRule="atLeast"/>
        </w:trPr>
        <w:tc>
          <w:tcPr>
            <w:tcW w:w="66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12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2232"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50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3428"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形象设计师*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66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12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2232"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50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3428"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家具设计师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66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12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2232"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50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3428"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室内装饰设计师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2" w:hRule="atLeast"/>
        </w:trPr>
        <w:tc>
          <w:tcPr>
            <w:tcW w:w="66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12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2232"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50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3428"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茶艺师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2" w:hRule="atLeast"/>
        </w:trPr>
        <w:tc>
          <w:tcPr>
            <w:tcW w:w="66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12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2232"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50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3428"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插花花艺师</w:t>
            </w:r>
            <w:r>
              <w:rPr>
                <w:rFonts w:hint="default" w:ascii="Times New Roman" w:hAnsi="Times New Roman" w:eastAsia="仿宋_GB2312" w:cs="Times New Roman"/>
                <w:i w:val="0"/>
                <w:iCs w:val="0"/>
                <w:color w:val="000000"/>
                <w:kern w:val="0"/>
                <w:sz w:val="21"/>
                <w:szCs w:val="21"/>
                <w:u w:val="none"/>
                <w:lang w:val="en-US" w:eastAsia="zh-CN" w:bidi="ar"/>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2" w:hRule="atLeast"/>
        </w:trPr>
        <w:tc>
          <w:tcPr>
            <w:tcW w:w="66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12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2232"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50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3428" w:type="dxa"/>
            <w:tcBorders>
              <w:tl2br w:val="nil"/>
              <w:tr2bl w:val="nil"/>
            </w:tcBorders>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品酒师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17</w:t>
            </w:r>
          </w:p>
        </w:tc>
        <w:tc>
          <w:tcPr>
            <w:tcW w:w="112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人文学院</w:t>
            </w:r>
          </w:p>
        </w:tc>
        <w:tc>
          <w:tcPr>
            <w:tcW w:w="2232"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英语</w:t>
            </w:r>
          </w:p>
        </w:tc>
        <w:tc>
          <w:tcPr>
            <w:tcW w:w="150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143</w:t>
            </w:r>
          </w:p>
        </w:tc>
        <w:tc>
          <w:tcPr>
            <w:tcW w:w="3428"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速录师*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2" w:hRule="atLeast"/>
        </w:trPr>
        <w:tc>
          <w:tcPr>
            <w:tcW w:w="66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18</w:t>
            </w:r>
          </w:p>
        </w:tc>
        <w:tc>
          <w:tcPr>
            <w:tcW w:w="112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2232"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网络与新媒体</w:t>
            </w:r>
          </w:p>
        </w:tc>
        <w:tc>
          <w:tcPr>
            <w:tcW w:w="150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　</w:t>
            </w:r>
          </w:p>
        </w:tc>
        <w:tc>
          <w:tcPr>
            <w:tcW w:w="3428" w:type="dxa"/>
            <w:tcBorders>
              <w:tl2br w:val="nil"/>
              <w:tr2bl w:val="nil"/>
            </w:tcBorders>
            <w:shd w:val="clear" w:color="auto" w:fill="auto"/>
            <w:vAlign w:val="center"/>
          </w:tcPr>
          <w:p>
            <w:pPr>
              <w:keepNext w:val="0"/>
              <w:keepLines w:val="0"/>
              <w:widowControl/>
              <w:suppressLineNumbers w:val="0"/>
              <w:tabs>
                <w:tab w:val="center" w:pos="1606"/>
              </w:tabs>
              <w:jc w:val="left"/>
              <w:textAlignment w:val="center"/>
              <w:rPr>
                <w:rFonts w:hint="default" w:ascii="Times New Roman" w:hAnsi="Times New Roman" w:eastAsia="仿宋_GB2312" w:cs="Times New Roman"/>
                <w:i w:val="0"/>
                <w:iCs w:val="0"/>
                <w:color w:val="000000"/>
                <w:kern w:val="2"/>
                <w:sz w:val="21"/>
                <w:szCs w:val="21"/>
                <w:u w:val="no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在线学习服务师*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2" w:hRule="atLeast"/>
        </w:trPr>
        <w:tc>
          <w:tcPr>
            <w:tcW w:w="66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12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2232"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50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3428"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电子竞技运营师*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66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19</w:t>
            </w:r>
          </w:p>
        </w:tc>
        <w:tc>
          <w:tcPr>
            <w:tcW w:w="112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2232"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广告学</w:t>
            </w:r>
          </w:p>
        </w:tc>
        <w:tc>
          <w:tcPr>
            <w:tcW w:w="150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49</w:t>
            </w:r>
          </w:p>
        </w:tc>
        <w:tc>
          <w:tcPr>
            <w:tcW w:w="3428" w:type="dxa"/>
            <w:tcBorders>
              <w:tl2br w:val="nil"/>
              <w:tr2bl w:val="nil"/>
            </w:tcBorders>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Times New Roman"/>
                <w:i w:val="0"/>
                <w:iCs w:val="0"/>
                <w:color w:val="000000"/>
                <w:sz w:val="21"/>
                <w:szCs w:val="21"/>
                <w:u w:val="no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互联网营销师*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66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12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2232"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汉语言文学</w:t>
            </w:r>
          </w:p>
        </w:tc>
        <w:tc>
          <w:tcPr>
            <w:tcW w:w="150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142</w:t>
            </w:r>
          </w:p>
        </w:tc>
        <w:tc>
          <w:tcPr>
            <w:tcW w:w="3428"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2"/>
                <w:sz w:val="21"/>
                <w:szCs w:val="21"/>
                <w:u w:val="no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礼仪主持人*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66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12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2232"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50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3428"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2"/>
                <w:sz w:val="21"/>
                <w:szCs w:val="21"/>
                <w:u w:val="no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公关员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2" w:hRule="atLeast"/>
        </w:trPr>
        <w:tc>
          <w:tcPr>
            <w:tcW w:w="66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12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2232"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50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3428"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企业人力资源管理师*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66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21</w:t>
            </w:r>
          </w:p>
        </w:tc>
        <w:tc>
          <w:tcPr>
            <w:tcW w:w="112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经济管理学院</w:t>
            </w:r>
          </w:p>
        </w:tc>
        <w:tc>
          <w:tcPr>
            <w:tcW w:w="2232"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物流管理</w:t>
            </w:r>
          </w:p>
        </w:tc>
        <w:tc>
          <w:tcPr>
            <w:tcW w:w="150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47</w:t>
            </w:r>
          </w:p>
        </w:tc>
        <w:tc>
          <w:tcPr>
            <w:tcW w:w="3428"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2"/>
                <w:sz w:val="21"/>
                <w:szCs w:val="21"/>
                <w:u w:val="no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物流服务师*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2" w:hRule="atLeast"/>
        </w:trPr>
        <w:tc>
          <w:tcPr>
            <w:tcW w:w="66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12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2232"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50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3428"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2"/>
                <w:sz w:val="21"/>
                <w:szCs w:val="21"/>
                <w:u w:val="no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供应链管理师*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2" w:hRule="atLeast"/>
        </w:trPr>
        <w:tc>
          <w:tcPr>
            <w:tcW w:w="66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12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2232"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50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3428"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2"/>
                <w:sz w:val="21"/>
                <w:szCs w:val="21"/>
                <w:u w:val="no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快件处理员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22</w:t>
            </w:r>
          </w:p>
        </w:tc>
        <w:tc>
          <w:tcPr>
            <w:tcW w:w="112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2232"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跨境电子商务</w:t>
            </w:r>
          </w:p>
        </w:tc>
        <w:tc>
          <w:tcPr>
            <w:tcW w:w="150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73</w:t>
            </w:r>
          </w:p>
        </w:tc>
        <w:tc>
          <w:tcPr>
            <w:tcW w:w="3428"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themeColor="text1"/>
                <w:kern w:val="0"/>
                <w:sz w:val="21"/>
                <w:szCs w:val="21"/>
                <w:u w:val="none"/>
                <w:lang w:val="en-US" w:eastAsia="zh-CN" w:bidi="ar"/>
                <w14:textFill>
                  <w14:solidFill>
                    <w14:schemeClr w14:val="tx1"/>
                  </w14:solidFill>
                </w14:textFill>
              </w:rPr>
              <w:t>电子商务师*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6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23</w:t>
            </w:r>
          </w:p>
        </w:tc>
        <w:tc>
          <w:tcPr>
            <w:tcW w:w="112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2232"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经济与金融</w:t>
            </w:r>
          </w:p>
        </w:tc>
        <w:tc>
          <w:tcPr>
            <w:tcW w:w="150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80</w:t>
            </w:r>
          </w:p>
        </w:tc>
        <w:tc>
          <w:tcPr>
            <w:tcW w:w="3428"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信用管理师*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66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12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2232"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50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3428"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风险管理师*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66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24</w:t>
            </w:r>
          </w:p>
        </w:tc>
        <w:tc>
          <w:tcPr>
            <w:tcW w:w="112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2232"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国际经济与贸易</w:t>
            </w:r>
          </w:p>
        </w:tc>
        <w:tc>
          <w:tcPr>
            <w:tcW w:w="150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263</w:t>
            </w:r>
          </w:p>
        </w:tc>
        <w:tc>
          <w:tcPr>
            <w:tcW w:w="3428"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连锁经营管理师*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12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2232"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500"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3428"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收银员</w:t>
            </w:r>
          </w:p>
        </w:tc>
      </w:tr>
    </w:tbl>
    <w:p>
      <w:pPr>
        <w:rPr>
          <w:rFonts w:hint="eastAsia" w:eastAsiaTheme="minorEastAsia"/>
          <w:b/>
          <w:bCs/>
          <w:lang w:val="en-US" w:eastAsia="zh-CN"/>
        </w:rPr>
      </w:pPr>
    </w:p>
    <w:p>
      <w:pPr>
        <w:rPr>
          <w:rFonts w:hint="eastAsia" w:eastAsiaTheme="minorEastAsia"/>
          <w:b/>
          <w:bCs/>
          <w:lang w:val="en-US" w:eastAsia="zh-CN"/>
        </w:rPr>
      </w:pPr>
    </w:p>
    <w:p>
      <w:pPr>
        <w:rPr>
          <w:rFonts w:hint="eastAsia" w:eastAsiaTheme="minorEastAsia"/>
          <w:b/>
          <w:bCs/>
          <w:lang w:val="en-US" w:eastAsia="zh-CN"/>
        </w:rPr>
      </w:pPr>
      <w:r>
        <w:rPr>
          <w:rFonts w:hint="eastAsia" w:eastAsiaTheme="minorEastAsia"/>
          <w:b/>
          <w:bCs/>
          <w:lang w:val="en-US" w:eastAsia="zh-CN"/>
        </w:rPr>
        <w:br w:type="page"/>
      </w:r>
    </w:p>
    <w:p>
      <w:pPr>
        <w:keepNext w:val="0"/>
        <w:keepLines w:val="0"/>
        <w:pageBreakBefore w:val="0"/>
        <w:widowControl/>
        <w:suppressLineNumbers w:val="0"/>
        <w:suppressAutoHyphens/>
        <w:kinsoku/>
        <w:wordWrap/>
        <w:overflowPunct/>
        <w:topLinePunct w:val="0"/>
        <w:autoSpaceDE/>
        <w:autoSpaceDN/>
        <w:bidi w:val="0"/>
        <w:adjustRightInd/>
        <w:spacing w:line="620" w:lineRule="exact"/>
        <w:jc w:val="both"/>
        <w:textAlignment w:val="center"/>
        <w:rPr>
          <w:rFonts w:hint="eastAsia" w:ascii="宋体" w:hAnsi="宋体" w:eastAsia="宋体" w:cs="宋体"/>
          <w:b/>
          <w:bCs/>
          <w:color w:val="000000"/>
          <w:sz w:val="36"/>
          <w:szCs w:val="36"/>
          <w:u w:val="none"/>
          <w:lang w:val="en-US" w:eastAsia="zh-CN" w:bidi="ar-SA"/>
        </w:rPr>
      </w:pPr>
      <w:r>
        <w:rPr>
          <w:rFonts w:hint="eastAsia" w:ascii="宋体" w:hAnsi="宋体" w:eastAsia="宋体" w:cs="宋体"/>
          <w:b/>
          <w:bCs/>
          <w:color w:val="000000"/>
          <w:sz w:val="36"/>
          <w:szCs w:val="36"/>
          <w:u w:val="none"/>
          <w:lang w:eastAsia="zh-CN" w:bidi="ar-SA"/>
        </w:rPr>
        <w:t>附件</w:t>
      </w:r>
      <w:r>
        <w:rPr>
          <w:rFonts w:hint="eastAsia" w:ascii="宋体" w:hAnsi="宋体" w:eastAsia="宋体" w:cs="宋体"/>
          <w:b/>
          <w:bCs/>
          <w:color w:val="000000"/>
          <w:sz w:val="36"/>
          <w:szCs w:val="36"/>
          <w:u w:val="none"/>
          <w:lang w:val="en-US" w:eastAsia="zh-CN" w:bidi="ar-SA"/>
        </w:rPr>
        <w:t>2</w:t>
      </w:r>
    </w:p>
    <w:p>
      <w:pPr>
        <w:keepNext w:val="0"/>
        <w:keepLines w:val="0"/>
        <w:pageBreakBefore w:val="0"/>
        <w:widowControl/>
        <w:suppressLineNumbers w:val="0"/>
        <w:suppressAutoHyphens/>
        <w:kinsoku/>
        <w:wordWrap/>
        <w:overflowPunct/>
        <w:topLinePunct w:val="0"/>
        <w:autoSpaceDE/>
        <w:autoSpaceDN/>
        <w:bidi w:val="0"/>
        <w:adjustRightInd/>
        <w:spacing w:line="620" w:lineRule="exact"/>
        <w:jc w:val="center"/>
        <w:textAlignment w:val="center"/>
        <w:rPr>
          <w:rFonts w:hint="eastAsia" w:ascii="方正小标宋简体" w:eastAsia="方正小标宋简体" w:cs="方正小标宋简体"/>
          <w:color w:val="000000"/>
          <w:sz w:val="36"/>
          <w:szCs w:val="36"/>
          <w:u w:val="none"/>
          <w:lang w:val="en-US" w:eastAsia="zh-CN" w:bidi="ar-SA"/>
        </w:rPr>
      </w:pPr>
      <w:r>
        <w:rPr>
          <w:rFonts w:hint="eastAsia" w:ascii="方正小标宋简体" w:eastAsia="方正小标宋简体" w:cs="方正小标宋简体"/>
          <w:color w:val="000000"/>
          <w:sz w:val="36"/>
          <w:szCs w:val="36"/>
          <w:u w:val="none"/>
          <w:lang w:val="en-US" w:eastAsia="zh-CN" w:bidi="ar-SA"/>
        </w:rPr>
        <w:t>（学校名称）</w:t>
      </w:r>
    </w:p>
    <w:p>
      <w:pPr>
        <w:keepNext w:val="0"/>
        <w:keepLines w:val="0"/>
        <w:pageBreakBefore w:val="0"/>
        <w:widowControl/>
        <w:suppressLineNumbers w:val="0"/>
        <w:suppressAutoHyphens/>
        <w:kinsoku/>
        <w:wordWrap/>
        <w:overflowPunct/>
        <w:topLinePunct w:val="0"/>
        <w:autoSpaceDE/>
        <w:autoSpaceDN/>
        <w:bidi w:val="0"/>
        <w:adjustRightInd/>
        <w:spacing w:line="620" w:lineRule="exact"/>
        <w:jc w:val="center"/>
        <w:textAlignment w:val="center"/>
        <w:rPr>
          <w:rFonts w:hint="eastAsia" w:ascii="方正小标宋简体" w:eastAsia="方正小标宋简体" w:cs="方正小标宋简体"/>
          <w:color w:val="000000"/>
          <w:sz w:val="36"/>
          <w:szCs w:val="36"/>
          <w:u w:val="none"/>
          <w:lang w:val="en-US" w:eastAsia="zh-CN" w:bidi="ar-SA"/>
        </w:rPr>
      </w:pPr>
      <w:r>
        <w:rPr>
          <w:rFonts w:hint="eastAsia" w:ascii="方正小标宋简体" w:eastAsia="方正小标宋简体" w:cs="方正小标宋简体"/>
          <w:color w:val="000000"/>
          <w:sz w:val="36"/>
          <w:szCs w:val="36"/>
          <w:u w:val="none"/>
          <w:lang w:val="en-US" w:eastAsia="zh-CN" w:bidi="ar-SA"/>
        </w:rPr>
        <w:t>等级认定申报情况介绍（模板）</w:t>
      </w:r>
    </w:p>
    <w:p>
      <w:pPr>
        <w:keepNext w:val="0"/>
        <w:keepLines w:val="0"/>
        <w:pageBreakBefore w:val="0"/>
        <w:widowControl/>
        <w:suppressLineNumbers w:val="0"/>
        <w:suppressAutoHyphens/>
        <w:kinsoku/>
        <w:wordWrap/>
        <w:overflowPunct/>
        <w:topLinePunct w:val="0"/>
        <w:autoSpaceDE/>
        <w:autoSpaceDN/>
        <w:bidi w:val="0"/>
        <w:adjustRightInd/>
        <w:spacing w:line="620" w:lineRule="exact"/>
        <w:ind w:firstLine="640" w:firstLineChars="200"/>
        <w:jc w:val="both"/>
        <w:textAlignment w:val="center"/>
        <w:rPr>
          <w:rFonts w:hint="eastAsia" w:ascii="黑体" w:eastAsia="黑体" w:cs="黑体"/>
          <w:color w:val="000000"/>
          <w:sz w:val="32"/>
          <w:szCs w:val="32"/>
          <w:u w:val="none"/>
          <w:lang w:val="en-US" w:eastAsia="zh-CN" w:bidi="ar-SA"/>
        </w:rPr>
      </w:pPr>
    </w:p>
    <w:p>
      <w:pPr>
        <w:keepNext w:val="0"/>
        <w:keepLines w:val="0"/>
        <w:pageBreakBefore w:val="0"/>
        <w:widowControl/>
        <w:suppressLineNumbers w:val="0"/>
        <w:suppressAutoHyphens/>
        <w:kinsoku/>
        <w:wordWrap/>
        <w:overflowPunct/>
        <w:topLinePunct w:val="0"/>
        <w:autoSpaceDE/>
        <w:autoSpaceDN/>
        <w:bidi w:val="0"/>
        <w:adjustRightInd/>
        <w:spacing w:line="620" w:lineRule="exact"/>
        <w:ind w:firstLine="640" w:firstLineChars="200"/>
        <w:jc w:val="both"/>
        <w:textAlignment w:val="center"/>
        <w:rPr>
          <w:rFonts w:hint="eastAsia" w:ascii="黑体" w:eastAsia="黑体" w:cs="黑体"/>
          <w:color w:val="000000"/>
          <w:sz w:val="32"/>
          <w:szCs w:val="32"/>
          <w:u w:val="none"/>
          <w:lang w:val="en-US" w:eastAsia="zh-CN" w:bidi="ar-SA"/>
        </w:rPr>
      </w:pPr>
      <w:r>
        <w:rPr>
          <w:rFonts w:hint="eastAsia" w:ascii="黑体" w:eastAsia="黑体" w:cs="黑体"/>
          <w:color w:val="000000"/>
          <w:sz w:val="32"/>
          <w:szCs w:val="32"/>
          <w:u w:val="none"/>
          <w:lang w:val="en-US" w:eastAsia="zh-CN" w:bidi="ar-SA"/>
        </w:rPr>
        <w:t>一、学校基本情况</w:t>
      </w:r>
    </w:p>
    <w:p>
      <w:pPr>
        <w:pStyle w:val="2"/>
        <w:tabs>
          <w:tab w:val="right" w:pos="8307"/>
          <w:tab w:val="clear" w:pos="8306"/>
        </w:tabs>
        <w:ind w:firstLine="640" w:firstLineChars="200"/>
        <w:rPr>
          <w:rFonts w:hint="default"/>
          <w:sz w:val="32"/>
          <w:szCs w:val="32"/>
          <w:lang w:val="en-US" w:eastAsia="zh-CN"/>
        </w:rPr>
      </w:pPr>
      <w:r>
        <w:rPr>
          <w:rFonts w:hint="eastAsia"/>
          <w:sz w:val="32"/>
          <w:szCs w:val="32"/>
          <w:lang w:val="en-US" w:eastAsia="zh-CN"/>
        </w:rPr>
        <w:t>（学校填写）</w:t>
      </w:r>
    </w:p>
    <w:p>
      <w:pPr>
        <w:keepNext w:val="0"/>
        <w:keepLines w:val="0"/>
        <w:pageBreakBefore w:val="0"/>
        <w:widowControl/>
        <w:suppressLineNumbers w:val="0"/>
        <w:suppressAutoHyphens/>
        <w:kinsoku/>
        <w:wordWrap/>
        <w:overflowPunct/>
        <w:topLinePunct w:val="0"/>
        <w:autoSpaceDE/>
        <w:autoSpaceDN/>
        <w:bidi w:val="0"/>
        <w:adjustRightInd/>
        <w:spacing w:line="620" w:lineRule="exact"/>
        <w:ind w:firstLine="640" w:firstLineChars="200"/>
        <w:jc w:val="both"/>
        <w:textAlignment w:val="center"/>
        <w:rPr>
          <w:rFonts w:hint="eastAsia" w:ascii="黑体" w:eastAsia="黑体" w:cs="黑体"/>
          <w:color w:val="000000"/>
          <w:sz w:val="32"/>
          <w:szCs w:val="32"/>
          <w:u w:val="none"/>
          <w:lang w:val="en-US" w:eastAsia="zh-CN" w:bidi="ar-SA"/>
        </w:rPr>
      </w:pPr>
      <w:r>
        <w:rPr>
          <w:rFonts w:hint="eastAsia" w:ascii="黑体" w:eastAsia="黑体" w:cs="黑体"/>
          <w:color w:val="000000"/>
          <w:sz w:val="32"/>
          <w:szCs w:val="32"/>
          <w:u w:val="none"/>
          <w:lang w:val="en-US" w:eastAsia="zh-CN" w:bidi="ar-SA"/>
        </w:rPr>
        <w:t>二、申报专业情况</w:t>
      </w:r>
    </w:p>
    <w:p>
      <w:pPr>
        <w:pStyle w:val="2"/>
        <w:keepNext w:val="0"/>
        <w:keepLines w:val="0"/>
        <w:pageBreakBefore w:val="0"/>
        <w:widowControl w:val="0"/>
        <w:tabs>
          <w:tab w:val="right" w:pos="8307"/>
          <w:tab w:val="clear" w:pos="8306"/>
        </w:tabs>
        <w:suppressAutoHyphens/>
        <w:kinsoku/>
        <w:wordWrap/>
        <w:overflowPunct/>
        <w:topLinePunct w:val="0"/>
        <w:autoSpaceDE/>
        <w:autoSpaceDN/>
        <w:bidi w:val="0"/>
        <w:adjustRightInd/>
        <w:snapToGrid w:val="0"/>
        <w:spacing w:line="620" w:lineRule="exact"/>
        <w:ind w:firstLine="640" w:firstLineChars="200"/>
        <w:rPr>
          <w:rFonts w:hint="eastAsia"/>
          <w:lang w:val="en-US" w:eastAsia="zh-CN"/>
        </w:rPr>
      </w:pPr>
      <w:r>
        <w:rPr>
          <w:rFonts w:hint="eastAsia" w:ascii="仿宋_GB2312" w:hAnsi="仿宋_GB2312" w:cs="仿宋_GB2312"/>
          <w:color w:val="000000"/>
          <w:sz w:val="32"/>
          <w:szCs w:val="32"/>
          <w:u w:val="none"/>
          <w:lang w:val="en-US" w:eastAsia="zh-CN" w:bidi="ar-SA"/>
        </w:rPr>
        <w:t>（</w:t>
      </w:r>
      <w:r>
        <w:rPr>
          <w:rFonts w:hint="eastAsia" w:ascii="仿宋_GB2312" w:eastAsia="仿宋_GB2312" w:cs="仿宋_GB2312"/>
          <w:color w:val="000000"/>
          <w:sz w:val="32"/>
          <w:szCs w:val="32"/>
          <w:u w:val="none"/>
          <w:lang w:val="en-US" w:eastAsia="zh-CN" w:bidi="ar-SA"/>
        </w:rPr>
        <w:t>专业优势、师资队伍、实操场地建设等</w:t>
      </w:r>
      <w:r>
        <w:rPr>
          <w:rFonts w:hint="eastAsia" w:ascii="仿宋_GB2312" w:hAnsi="仿宋_GB2312" w:cs="仿宋_GB2312"/>
          <w:color w:val="000000"/>
          <w:sz w:val="32"/>
          <w:szCs w:val="32"/>
          <w:u w:val="none"/>
          <w:lang w:val="en-US" w:eastAsia="zh-CN" w:bidi="ar-SA"/>
        </w:rPr>
        <w:t>）</w:t>
      </w:r>
    </w:p>
    <w:p>
      <w:pPr>
        <w:keepNext w:val="0"/>
        <w:keepLines w:val="0"/>
        <w:pageBreakBefore w:val="0"/>
        <w:widowControl/>
        <w:suppressLineNumbers w:val="0"/>
        <w:suppressAutoHyphens/>
        <w:kinsoku/>
        <w:wordWrap/>
        <w:overflowPunct/>
        <w:topLinePunct w:val="0"/>
        <w:autoSpaceDE/>
        <w:autoSpaceDN/>
        <w:bidi w:val="0"/>
        <w:adjustRightInd/>
        <w:spacing w:line="620" w:lineRule="exact"/>
        <w:ind w:firstLine="640" w:firstLineChars="200"/>
        <w:jc w:val="both"/>
        <w:textAlignment w:val="center"/>
        <w:rPr>
          <w:rFonts w:hint="eastAsia" w:ascii="黑体" w:eastAsia="黑体" w:cs="黑体"/>
          <w:color w:val="000000"/>
          <w:sz w:val="32"/>
          <w:szCs w:val="32"/>
          <w:u w:val="none"/>
          <w:lang w:val="en-US" w:eastAsia="zh-CN" w:bidi="ar-SA"/>
        </w:rPr>
      </w:pPr>
      <w:r>
        <w:rPr>
          <w:rFonts w:hint="eastAsia" w:ascii="黑体" w:eastAsia="黑体" w:cs="黑体"/>
          <w:color w:val="000000"/>
          <w:sz w:val="32"/>
          <w:szCs w:val="32"/>
          <w:u w:val="none"/>
          <w:lang w:val="en-US" w:eastAsia="zh-CN" w:bidi="ar-SA"/>
        </w:rPr>
        <w:t>三、技能评价经验</w:t>
      </w:r>
    </w:p>
    <w:p>
      <w:pPr>
        <w:keepNext w:val="0"/>
        <w:keepLines w:val="0"/>
        <w:pageBreakBefore w:val="0"/>
        <w:widowControl/>
        <w:suppressLineNumbers w:val="0"/>
        <w:suppressAutoHyphens/>
        <w:kinsoku/>
        <w:wordWrap/>
        <w:overflowPunct/>
        <w:topLinePunct w:val="0"/>
        <w:autoSpaceDE/>
        <w:autoSpaceDN/>
        <w:bidi w:val="0"/>
        <w:adjustRightInd/>
        <w:spacing w:line="620" w:lineRule="exact"/>
        <w:ind w:firstLine="640" w:firstLineChars="200"/>
        <w:jc w:val="both"/>
        <w:textAlignment w:val="center"/>
        <w:rPr>
          <w:rFonts w:hint="eastAsia" w:ascii="仿宋_GB2312" w:eastAsia="仿宋_GB2312" w:cs="仿宋_GB2312"/>
          <w:color w:val="000000"/>
          <w:sz w:val="32"/>
          <w:szCs w:val="32"/>
          <w:u w:val="none"/>
          <w:lang w:eastAsia="zh-CN" w:bidi="ar-SA"/>
        </w:rPr>
      </w:pPr>
      <w:r>
        <w:rPr>
          <w:rFonts w:hint="eastAsia" w:ascii="仿宋_GB2312" w:hAnsi="仿宋_GB2312" w:cs="仿宋_GB2312"/>
          <w:color w:val="000000"/>
          <w:sz w:val="32"/>
          <w:szCs w:val="32"/>
          <w:u w:val="none"/>
          <w:lang w:eastAsia="zh-CN" w:bidi="ar-SA"/>
        </w:rPr>
        <w:t>（</w:t>
      </w:r>
      <w:r>
        <w:rPr>
          <w:rFonts w:hint="eastAsia" w:ascii="仿宋_GB2312" w:eastAsia="仿宋_GB2312" w:cs="仿宋_GB2312"/>
          <w:color w:val="000000"/>
          <w:sz w:val="32"/>
          <w:szCs w:val="32"/>
          <w:u w:val="none"/>
          <w:lang w:val="en-US" w:eastAsia="zh-CN" w:bidi="ar-SA"/>
        </w:rPr>
        <w:t>学校填写</w:t>
      </w:r>
      <w:r>
        <w:rPr>
          <w:rFonts w:hint="eastAsia" w:ascii="仿宋_GB2312" w:eastAsia="仿宋_GB2312" w:cs="仿宋_GB2312"/>
          <w:color w:val="000000"/>
          <w:sz w:val="32"/>
          <w:szCs w:val="32"/>
          <w:u w:val="none"/>
          <w:lang w:eastAsia="zh-CN" w:bidi="ar-SA"/>
        </w:rPr>
        <w:t>）</w:t>
      </w:r>
    </w:p>
    <w:p>
      <w:pPr>
        <w:keepNext w:val="0"/>
        <w:keepLines w:val="0"/>
        <w:pageBreakBefore w:val="0"/>
        <w:widowControl/>
        <w:suppressLineNumbers w:val="0"/>
        <w:suppressAutoHyphens/>
        <w:kinsoku/>
        <w:wordWrap/>
        <w:overflowPunct/>
        <w:topLinePunct w:val="0"/>
        <w:autoSpaceDE/>
        <w:autoSpaceDN/>
        <w:bidi w:val="0"/>
        <w:adjustRightInd/>
        <w:spacing w:line="620" w:lineRule="exact"/>
        <w:ind w:firstLine="640" w:firstLineChars="200"/>
        <w:jc w:val="both"/>
        <w:textAlignment w:val="center"/>
        <w:rPr>
          <w:rFonts w:hint="eastAsia" w:ascii="黑体" w:eastAsia="黑体" w:cs="黑体"/>
          <w:color w:val="000000"/>
          <w:sz w:val="32"/>
          <w:szCs w:val="32"/>
          <w:u w:val="none"/>
          <w:lang w:val="en-US" w:eastAsia="zh-CN" w:bidi="ar-SA"/>
        </w:rPr>
      </w:pPr>
      <w:r>
        <w:rPr>
          <w:rFonts w:hint="eastAsia" w:ascii="黑体" w:eastAsia="黑体" w:cs="黑体"/>
          <w:color w:val="000000"/>
          <w:sz w:val="32"/>
          <w:szCs w:val="32"/>
          <w:u w:val="none"/>
          <w:lang w:val="en-US" w:eastAsia="zh-CN" w:bidi="ar-SA"/>
        </w:rPr>
        <w:t>四、评价资源建设</w:t>
      </w:r>
    </w:p>
    <w:p>
      <w:pPr>
        <w:keepNext w:val="0"/>
        <w:keepLines w:val="0"/>
        <w:pageBreakBefore w:val="0"/>
        <w:widowControl/>
        <w:suppressLineNumbers w:val="0"/>
        <w:suppressAutoHyphens/>
        <w:kinsoku/>
        <w:wordWrap/>
        <w:overflowPunct/>
        <w:topLinePunct w:val="0"/>
        <w:autoSpaceDE/>
        <w:autoSpaceDN/>
        <w:bidi w:val="0"/>
        <w:adjustRightInd/>
        <w:spacing w:line="620" w:lineRule="exact"/>
        <w:ind w:firstLine="640" w:firstLineChars="200"/>
        <w:jc w:val="both"/>
        <w:textAlignment w:val="center"/>
        <w:rPr>
          <w:rFonts w:hint="eastAsia" w:ascii="仿宋_GB2312" w:eastAsia="仿宋_GB2312" w:cs="仿宋_GB2312"/>
          <w:color w:val="000000"/>
          <w:sz w:val="32"/>
          <w:szCs w:val="32"/>
          <w:u w:val="none"/>
          <w:lang w:eastAsia="zh-CN" w:bidi="ar-SA"/>
        </w:rPr>
      </w:pPr>
      <w:r>
        <w:rPr>
          <w:rFonts w:hint="eastAsia" w:ascii="仿宋_GB2312" w:eastAsia="仿宋_GB2312" w:cs="仿宋_GB2312"/>
          <w:color w:val="000000"/>
          <w:sz w:val="32"/>
          <w:szCs w:val="32"/>
          <w:u w:val="none"/>
          <w:lang w:eastAsia="zh-CN" w:bidi="ar-SA"/>
        </w:rPr>
        <w:t>（</w:t>
      </w:r>
      <w:r>
        <w:rPr>
          <w:rFonts w:hint="eastAsia" w:ascii="仿宋_GB2312" w:eastAsia="仿宋_GB2312" w:cs="仿宋_GB2312"/>
          <w:color w:val="000000"/>
          <w:sz w:val="32"/>
          <w:szCs w:val="32"/>
          <w:u w:val="none"/>
          <w:lang w:val="en-US" w:eastAsia="zh-CN" w:bidi="ar-SA"/>
        </w:rPr>
        <w:t>学校填写</w:t>
      </w:r>
      <w:r>
        <w:rPr>
          <w:rFonts w:hint="eastAsia" w:ascii="仿宋_GB2312" w:eastAsia="仿宋_GB2312" w:cs="仿宋_GB2312"/>
          <w:color w:val="000000"/>
          <w:sz w:val="32"/>
          <w:szCs w:val="32"/>
          <w:u w:val="none"/>
          <w:lang w:eastAsia="zh-CN" w:bidi="ar-SA"/>
        </w:rPr>
        <w:t>）</w:t>
      </w:r>
    </w:p>
    <w:p>
      <w:pPr>
        <w:keepNext w:val="0"/>
        <w:keepLines w:val="0"/>
        <w:pageBreakBefore w:val="0"/>
        <w:widowControl/>
        <w:suppressLineNumbers w:val="0"/>
        <w:suppressAutoHyphens/>
        <w:kinsoku/>
        <w:wordWrap/>
        <w:overflowPunct/>
        <w:topLinePunct w:val="0"/>
        <w:autoSpaceDE/>
        <w:autoSpaceDN/>
        <w:bidi w:val="0"/>
        <w:adjustRightInd/>
        <w:spacing w:line="620" w:lineRule="exact"/>
        <w:ind w:firstLine="640" w:firstLineChars="200"/>
        <w:jc w:val="both"/>
        <w:textAlignment w:val="center"/>
        <w:rPr>
          <w:rFonts w:hint="eastAsia" w:ascii="黑体" w:eastAsia="黑体" w:cs="黑体"/>
          <w:color w:val="000000"/>
          <w:sz w:val="32"/>
          <w:szCs w:val="32"/>
          <w:u w:val="none"/>
          <w:lang w:eastAsia="zh-CN" w:bidi="ar-SA"/>
        </w:rPr>
      </w:pPr>
      <w:r>
        <w:rPr>
          <w:rFonts w:hint="eastAsia" w:ascii="黑体" w:eastAsia="黑体" w:cs="黑体"/>
          <w:color w:val="000000"/>
          <w:sz w:val="32"/>
          <w:szCs w:val="32"/>
          <w:u w:val="none"/>
          <w:lang w:eastAsia="zh-CN" w:bidi="ar-SA"/>
        </w:rPr>
        <w:t>五、评价体系建设</w:t>
      </w:r>
    </w:p>
    <w:p>
      <w:pPr>
        <w:ind w:firstLine="640" w:firstLineChars="200"/>
        <w:rPr>
          <w:rFonts w:hint="eastAsia" w:cs="Times New Roman"/>
          <w:color w:val="auto"/>
          <w:spacing w:val="0"/>
          <w:kern w:val="0"/>
          <w:sz w:val="32"/>
          <w:szCs w:val="32"/>
          <w:shd w:val="clear" w:color="auto" w:fill="FFFFFF"/>
          <w:lang w:val="en" w:eastAsia="zh-CN" w:bidi="ar"/>
        </w:rPr>
      </w:pPr>
      <w:r>
        <w:rPr>
          <w:rFonts w:hint="eastAsia" w:cs="Times New Roman"/>
          <w:color w:val="auto"/>
          <w:spacing w:val="0"/>
          <w:kern w:val="0"/>
          <w:sz w:val="32"/>
          <w:szCs w:val="32"/>
          <w:shd w:val="clear" w:color="auto" w:fill="FFFFFF"/>
          <w:lang w:val="en" w:eastAsia="zh-CN" w:bidi="ar"/>
        </w:rPr>
        <w:t>（</w:t>
      </w:r>
      <w:r>
        <w:rPr>
          <w:rFonts w:hint="eastAsia" w:ascii="仿宋_GB2312" w:eastAsia="仿宋_GB2312" w:cs="仿宋_GB2312"/>
          <w:color w:val="auto"/>
          <w:spacing w:val="0"/>
          <w:kern w:val="0"/>
          <w:sz w:val="32"/>
          <w:szCs w:val="32"/>
          <w:shd w:val="clear" w:color="auto" w:fill="FFFFFF"/>
          <w:lang w:val="en-US" w:eastAsia="zh-CN" w:bidi="ar"/>
        </w:rPr>
        <w:t>学校填写</w:t>
      </w:r>
      <w:r>
        <w:rPr>
          <w:rFonts w:hint="eastAsia" w:cs="Times New Roman"/>
          <w:color w:val="auto"/>
          <w:spacing w:val="0"/>
          <w:kern w:val="0"/>
          <w:sz w:val="32"/>
          <w:szCs w:val="32"/>
          <w:shd w:val="clear" w:color="auto" w:fill="FFFFFF"/>
          <w:lang w:val="en" w:eastAsia="zh-CN" w:bidi="ar"/>
        </w:rPr>
        <w:t>）</w:t>
      </w:r>
    </w:p>
    <w:p>
      <w:pPr>
        <w:pStyle w:val="2"/>
        <w:rPr>
          <w:rFonts w:hint="eastAsia" w:cs="Times New Roman"/>
          <w:color w:val="auto"/>
          <w:spacing w:val="0"/>
          <w:kern w:val="0"/>
          <w:sz w:val="32"/>
          <w:szCs w:val="32"/>
          <w:shd w:val="clear" w:color="auto" w:fill="FFFFFF"/>
          <w:lang w:val="en" w:eastAsia="zh-CN" w:bidi="ar"/>
        </w:rPr>
      </w:pPr>
    </w:p>
    <w:p>
      <w:pPr>
        <w:pStyle w:val="3"/>
        <w:rPr>
          <w:rFonts w:hint="eastAsia" w:cs="Times New Roman"/>
          <w:color w:val="auto"/>
          <w:spacing w:val="0"/>
          <w:kern w:val="0"/>
          <w:sz w:val="32"/>
          <w:szCs w:val="32"/>
          <w:shd w:val="clear" w:color="auto" w:fill="FFFFFF"/>
          <w:lang w:val="en" w:eastAsia="zh-CN" w:bidi="ar"/>
        </w:rPr>
      </w:pPr>
    </w:p>
    <w:p>
      <w:pPr>
        <w:rPr>
          <w:rFonts w:hint="eastAsia" w:cs="Times New Roman"/>
          <w:color w:val="auto"/>
          <w:spacing w:val="0"/>
          <w:kern w:val="0"/>
          <w:sz w:val="32"/>
          <w:szCs w:val="32"/>
          <w:shd w:val="clear" w:color="auto" w:fill="FFFFFF"/>
          <w:lang w:val="en" w:eastAsia="zh-CN" w:bidi="ar"/>
        </w:rPr>
      </w:pPr>
    </w:p>
    <w:p>
      <w:pPr>
        <w:pStyle w:val="2"/>
        <w:rPr>
          <w:rFonts w:hint="eastAsia" w:cs="Times New Roman"/>
          <w:color w:val="auto"/>
          <w:spacing w:val="0"/>
          <w:kern w:val="0"/>
          <w:sz w:val="32"/>
          <w:szCs w:val="32"/>
          <w:shd w:val="clear" w:color="auto" w:fill="FFFFFF"/>
          <w:lang w:val="en" w:eastAsia="zh-CN" w:bidi="ar"/>
        </w:rPr>
      </w:pPr>
    </w:p>
    <w:p>
      <w:pPr>
        <w:pStyle w:val="3"/>
        <w:rPr>
          <w:rFonts w:hint="eastAsia" w:cs="Times New Roman"/>
          <w:color w:val="auto"/>
          <w:spacing w:val="0"/>
          <w:kern w:val="0"/>
          <w:sz w:val="32"/>
          <w:szCs w:val="32"/>
          <w:shd w:val="clear" w:color="auto" w:fill="FFFFFF"/>
          <w:lang w:val="en" w:eastAsia="zh-CN" w:bidi="ar"/>
        </w:rPr>
      </w:pPr>
    </w:p>
    <w:p>
      <w:pPr>
        <w:rPr>
          <w:rFonts w:hint="eastAsia" w:cs="Times New Roman"/>
          <w:color w:val="auto"/>
          <w:spacing w:val="0"/>
          <w:kern w:val="0"/>
          <w:sz w:val="32"/>
          <w:szCs w:val="32"/>
          <w:shd w:val="clear" w:color="auto" w:fill="FFFFFF"/>
          <w:lang w:val="en" w:eastAsia="zh-CN" w:bidi="ar"/>
        </w:rPr>
      </w:pPr>
    </w:p>
    <w:p>
      <w:pPr>
        <w:pStyle w:val="2"/>
        <w:rPr>
          <w:rFonts w:hint="eastAsia" w:cs="Times New Roman"/>
          <w:color w:val="auto"/>
          <w:spacing w:val="0"/>
          <w:kern w:val="0"/>
          <w:sz w:val="32"/>
          <w:szCs w:val="32"/>
          <w:shd w:val="clear" w:color="auto" w:fill="FFFFFF"/>
          <w:lang w:val="en" w:eastAsia="zh-CN" w:bidi="ar"/>
        </w:rPr>
      </w:pPr>
    </w:p>
    <w:p>
      <w:pPr>
        <w:pStyle w:val="3"/>
        <w:rPr>
          <w:rFonts w:hint="eastAsia" w:cs="Times New Roman"/>
          <w:color w:val="auto"/>
          <w:spacing w:val="0"/>
          <w:kern w:val="0"/>
          <w:sz w:val="32"/>
          <w:szCs w:val="32"/>
          <w:shd w:val="clear" w:color="auto" w:fill="FFFFFF"/>
          <w:lang w:val="en" w:eastAsia="zh-CN" w:bidi="ar"/>
        </w:rPr>
      </w:pPr>
    </w:p>
    <w:p>
      <w:pPr>
        <w:rPr>
          <w:rFonts w:hint="eastAsia"/>
          <w:lang w:val="en" w:eastAsia="zh-CN"/>
        </w:rPr>
      </w:pPr>
    </w:p>
    <w:p>
      <w:pPr>
        <w:pStyle w:val="3"/>
        <w:rPr>
          <w:rFonts w:hint="eastAsia" w:cs="Times New Roman"/>
          <w:color w:val="auto"/>
          <w:spacing w:val="0"/>
          <w:kern w:val="0"/>
          <w:sz w:val="32"/>
          <w:szCs w:val="32"/>
          <w:shd w:val="clear" w:color="auto" w:fill="FFFFFF"/>
          <w:lang w:val="en" w:eastAsia="zh-CN" w:bidi="ar"/>
        </w:rPr>
      </w:pPr>
    </w:p>
    <w:p>
      <w:pPr>
        <w:jc w:val="left"/>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附件3：</w:t>
      </w:r>
    </w:p>
    <w:p>
      <w:pPr>
        <w:rPr>
          <w:rFonts w:hint="eastAsia" w:eastAsia="黑体"/>
          <w:sz w:val="36"/>
        </w:rPr>
      </w:pPr>
    </w:p>
    <w:p>
      <w:pPr>
        <w:keepNext w:val="0"/>
        <w:keepLines w:val="0"/>
        <w:pageBreakBefore w:val="0"/>
        <w:widowControl w:val="0"/>
        <w:suppressAutoHyphens/>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cs="方正小标宋简体"/>
          <w:sz w:val="44"/>
          <w:szCs w:val="44"/>
          <w:lang w:eastAsia="zh-CN" w:bidi="ar-SA"/>
        </w:rPr>
      </w:pPr>
      <w:r>
        <w:rPr>
          <w:rFonts w:hint="eastAsia" w:ascii="方正小标宋简体" w:eastAsia="方正小标宋简体" w:cs="方正小标宋简体"/>
          <w:sz w:val="44"/>
          <w:szCs w:val="44"/>
          <w:lang w:eastAsia="zh-CN" w:bidi="ar-SA"/>
        </w:rPr>
        <w:t>湖州市职业资格指导服务中心关于开展高校技能等级认定申报工作的通知</w:t>
      </w:r>
    </w:p>
    <w:p>
      <w:pPr>
        <w:keepNext w:val="0"/>
        <w:keepLines w:val="0"/>
        <w:pageBreakBefore w:val="0"/>
        <w:widowControl w:val="0"/>
        <w:suppressAutoHyphens/>
        <w:kinsoku/>
        <w:wordWrap/>
        <w:overflowPunct/>
        <w:topLinePunct w:val="0"/>
        <w:autoSpaceDE/>
        <w:autoSpaceDN/>
        <w:bidi w:val="0"/>
        <w:adjustRightInd/>
        <w:snapToGrid/>
        <w:spacing w:line="560" w:lineRule="exact"/>
        <w:textAlignment w:val="auto"/>
        <w:rPr>
          <w:rFonts w:hint="eastAsia" w:ascii="仿宋_GB2312" w:eastAsia="仿宋_GB2312" w:cs="仿宋_GB2312"/>
          <w:sz w:val="32"/>
          <w:szCs w:val="32"/>
          <w:lang w:bidi="ar-SA"/>
        </w:rPr>
      </w:pPr>
    </w:p>
    <w:p>
      <w:pPr>
        <w:keepNext w:val="0"/>
        <w:keepLines w:val="0"/>
        <w:pageBreakBefore w:val="0"/>
        <w:widowControl w:val="0"/>
        <w:suppressAutoHyphens/>
        <w:kinsoku/>
        <w:wordWrap/>
        <w:overflowPunct/>
        <w:topLinePunct w:val="0"/>
        <w:autoSpaceDE/>
        <w:autoSpaceDN/>
        <w:bidi w:val="0"/>
        <w:adjustRightInd/>
        <w:snapToGrid/>
        <w:spacing w:line="560" w:lineRule="exact"/>
        <w:textAlignment w:val="auto"/>
        <w:rPr>
          <w:rFonts w:hint="eastAsia" w:ascii="仿宋_GB2312" w:eastAsia="仿宋_GB2312" w:cs="仿宋_GB2312"/>
          <w:sz w:val="32"/>
          <w:szCs w:val="32"/>
          <w:lang w:eastAsia="zh-CN" w:bidi="ar-SA"/>
        </w:rPr>
      </w:pPr>
      <w:r>
        <w:rPr>
          <w:rFonts w:hint="eastAsia" w:ascii="仿宋_GB2312" w:eastAsia="仿宋_GB2312" w:cs="仿宋_GB2312"/>
          <w:sz w:val="32"/>
          <w:szCs w:val="32"/>
          <w:lang w:eastAsia="zh-CN" w:bidi="ar-SA"/>
        </w:rPr>
        <w:t>各区县技能评价（鉴定）中心,各市属高校：</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lang w:eastAsia="zh-CN" w:bidi="ar-SA"/>
        </w:rPr>
      </w:pPr>
      <w:r>
        <w:rPr>
          <w:rFonts w:hint="eastAsia" w:ascii="仿宋_GB2312" w:eastAsia="仿宋_GB2312" w:cs="仿宋_GB2312"/>
          <w:sz w:val="32"/>
          <w:szCs w:val="32"/>
          <w:lang w:eastAsia="zh-CN" w:bidi="ar-SA"/>
        </w:rPr>
        <w:t>为满足高校学生技能评价需要，促进高校毕业生高质量就业，支持高校建立技能人才评价体系，依据《浙江省人力资源和</w:t>
      </w:r>
      <w:r>
        <w:rPr>
          <w:rFonts w:hint="default" w:ascii="Times New Roman" w:hAnsi="Times New Roman" w:eastAsia="仿宋_GB2312" w:cs="Times New Roman"/>
          <w:sz w:val="32"/>
          <w:szCs w:val="32"/>
          <w:lang w:eastAsia="zh-CN" w:bidi="ar-SA"/>
        </w:rPr>
        <w:t>社会保障厅关于全面推进高校技能等级认定工作的通知》（浙人社发〔2023〕34号）和《浙江省技能人才评价管理服务中心关于开展高校技能等级认定申报工作的通知》（浙</w:t>
      </w:r>
      <w:r>
        <w:rPr>
          <w:rFonts w:hint="eastAsia" w:ascii="Times New Roman" w:hAnsi="Times New Roman" w:eastAsia="仿宋_GB2312" w:cs="Times New Roman"/>
          <w:sz w:val="32"/>
          <w:szCs w:val="32"/>
          <w:lang w:eastAsia="zh-CN" w:bidi="ar-SA"/>
        </w:rPr>
        <w:t>技评</w:t>
      </w:r>
      <w:r>
        <w:rPr>
          <w:rFonts w:hint="default" w:ascii="Times New Roman" w:hAnsi="Times New Roman" w:eastAsia="仿宋_GB2312" w:cs="Times New Roman"/>
          <w:sz w:val="32"/>
          <w:szCs w:val="32"/>
          <w:lang w:eastAsia="zh-CN" w:bidi="ar-SA"/>
        </w:rPr>
        <w:t>〔2023〕</w:t>
      </w:r>
      <w:r>
        <w:rPr>
          <w:rFonts w:hint="eastAsia" w:ascii="Times New Roman" w:hAnsi="Times New Roman" w:eastAsia="仿宋_GB2312" w:cs="Times New Roman"/>
          <w:sz w:val="32"/>
          <w:szCs w:val="32"/>
          <w:lang w:val="en-US" w:eastAsia="zh-CN" w:bidi="ar-SA"/>
        </w:rPr>
        <w:t>15</w:t>
      </w:r>
      <w:r>
        <w:rPr>
          <w:rFonts w:hint="default" w:ascii="Times New Roman" w:hAnsi="Times New Roman" w:eastAsia="仿宋_GB2312" w:cs="Times New Roman"/>
          <w:sz w:val="32"/>
          <w:szCs w:val="32"/>
          <w:lang w:eastAsia="zh-CN" w:bidi="ar-SA"/>
        </w:rPr>
        <w:t>号）有关要求，现就</w:t>
      </w:r>
      <w:r>
        <w:rPr>
          <w:rFonts w:hint="eastAsia" w:ascii="Times New Roman" w:hAnsi="Times New Roman" w:eastAsia="仿宋_GB2312" w:cs="Times New Roman"/>
          <w:sz w:val="32"/>
          <w:szCs w:val="32"/>
          <w:lang w:eastAsia="zh-CN" w:bidi="ar-SA"/>
        </w:rPr>
        <w:t>我市</w:t>
      </w:r>
      <w:r>
        <w:rPr>
          <w:rFonts w:hint="default" w:ascii="Times New Roman" w:hAnsi="Times New Roman" w:eastAsia="仿宋_GB2312" w:cs="Times New Roman"/>
          <w:sz w:val="32"/>
          <w:szCs w:val="32"/>
          <w:lang w:eastAsia="zh-CN" w:bidi="ar-SA"/>
        </w:rPr>
        <w:t>高校技能等级认定申报有关要</w:t>
      </w:r>
      <w:r>
        <w:rPr>
          <w:rFonts w:hint="eastAsia" w:ascii="仿宋_GB2312" w:eastAsia="仿宋_GB2312" w:cs="仿宋_GB2312"/>
          <w:sz w:val="32"/>
          <w:szCs w:val="32"/>
          <w:lang w:eastAsia="zh-CN" w:bidi="ar-SA"/>
        </w:rPr>
        <w:t>求通知如下：</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黑体" w:eastAsia="黑体" w:cs="黑体"/>
          <w:sz w:val="32"/>
          <w:szCs w:val="32"/>
          <w:lang w:eastAsia="zh-CN" w:bidi="ar-SA"/>
        </w:rPr>
      </w:pPr>
      <w:r>
        <w:rPr>
          <w:rFonts w:hint="eastAsia" w:ascii="黑体" w:eastAsia="黑体" w:cs="黑体"/>
          <w:sz w:val="32"/>
          <w:szCs w:val="32"/>
          <w:lang w:eastAsia="zh-CN" w:bidi="ar-SA"/>
        </w:rPr>
        <w:t>一、申报对象</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lang w:eastAsia="zh-CN" w:bidi="ar-SA"/>
        </w:rPr>
      </w:pPr>
      <w:r>
        <w:rPr>
          <w:rFonts w:hint="eastAsia" w:ascii="仿宋_GB2312" w:eastAsia="仿宋_GB2312" w:cs="仿宋_GB2312"/>
          <w:sz w:val="32"/>
          <w:szCs w:val="32"/>
          <w:lang w:eastAsia="zh-CN" w:bidi="ar-SA"/>
        </w:rPr>
        <w:t>本市行政区域内的普通高等院校（含高职院校）。</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黑体" w:eastAsia="黑体" w:cs="黑体"/>
          <w:sz w:val="32"/>
          <w:szCs w:val="32"/>
          <w:lang w:eastAsia="zh-CN" w:bidi="ar-SA"/>
        </w:rPr>
      </w:pPr>
      <w:r>
        <w:rPr>
          <w:rFonts w:hint="eastAsia" w:ascii="黑体" w:eastAsia="黑体" w:cs="黑体"/>
          <w:sz w:val="32"/>
          <w:szCs w:val="32"/>
          <w:lang w:eastAsia="zh-CN" w:bidi="ar-SA"/>
        </w:rPr>
        <w:t>二、申报范围</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cs="仿宋_GB2312"/>
          <w:sz w:val="32"/>
          <w:szCs w:val="32"/>
          <w:lang w:eastAsia="zh-CN" w:bidi="ar-SA"/>
        </w:rPr>
      </w:pPr>
      <w:r>
        <w:rPr>
          <w:rFonts w:hint="eastAsia" w:ascii="楷体_GB2312" w:eastAsia="楷体_GB2312" w:cs="楷体_GB2312"/>
          <w:b/>
          <w:bCs/>
          <w:sz w:val="32"/>
          <w:szCs w:val="32"/>
          <w:lang w:eastAsia="zh-CN" w:bidi="ar-SA"/>
        </w:rPr>
        <w:t>（一）认定对象。</w:t>
      </w:r>
      <w:r>
        <w:rPr>
          <w:rFonts w:hint="eastAsia" w:ascii="仿宋_GB2312" w:eastAsia="仿宋_GB2312" w:cs="仿宋_GB2312"/>
          <w:sz w:val="32"/>
          <w:szCs w:val="32"/>
          <w:lang w:eastAsia="zh-CN" w:bidi="ar-SA"/>
        </w:rPr>
        <w:t>本校全日制在校</w:t>
      </w:r>
      <w:r>
        <w:rPr>
          <w:rFonts w:hint="eastAsia" w:ascii="仿宋_GB2312" w:eastAsia="仿宋_GB2312" w:cs="仿宋_GB2312"/>
          <w:color w:val="auto"/>
          <w:sz w:val="32"/>
          <w:szCs w:val="32"/>
          <w:lang w:eastAsia="zh-CN" w:bidi="ar-SA"/>
        </w:rPr>
        <w:t>学生</w:t>
      </w:r>
      <w:r>
        <w:rPr>
          <w:rFonts w:hint="eastAsia" w:ascii="仿宋_GB2312" w:eastAsia="仿宋_GB2312" w:cs="仿宋_GB2312"/>
          <w:sz w:val="32"/>
          <w:szCs w:val="32"/>
          <w:lang w:eastAsia="zh-CN" w:bidi="ar-SA"/>
        </w:rPr>
        <w:t>（不含培训学员、成人非学历教育、成人学历教育等）。</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cs="仿宋_GB2312"/>
          <w:sz w:val="32"/>
          <w:szCs w:val="32"/>
          <w:lang w:val="en-US" w:eastAsia="zh-CN" w:bidi="ar-SA"/>
        </w:rPr>
      </w:pPr>
      <w:r>
        <w:rPr>
          <w:rFonts w:hint="eastAsia" w:ascii="楷体_GB2312" w:eastAsia="楷体_GB2312" w:cs="楷体_GB2312"/>
          <w:b/>
          <w:bCs/>
          <w:sz w:val="32"/>
          <w:szCs w:val="32"/>
          <w:lang w:eastAsia="zh-CN" w:bidi="ar-SA"/>
        </w:rPr>
        <w:t>（二）申报职业。</w:t>
      </w:r>
      <w:r>
        <w:rPr>
          <w:rFonts w:hint="eastAsia" w:ascii="仿宋_GB2312" w:eastAsia="仿宋_GB2312" w:cs="仿宋_GB2312"/>
          <w:sz w:val="32"/>
          <w:szCs w:val="32"/>
          <w:lang w:eastAsia="zh-CN" w:bidi="ar-SA"/>
        </w:rPr>
        <w:t>现行《中华人</w:t>
      </w:r>
      <w:r>
        <w:rPr>
          <w:rFonts w:hint="default" w:ascii="Times New Roman" w:hAnsi="Times New Roman" w:eastAsia="仿宋_GB2312" w:cs="Times New Roman"/>
          <w:sz w:val="32"/>
          <w:szCs w:val="32"/>
          <w:lang w:eastAsia="zh-CN" w:bidi="ar-SA"/>
        </w:rPr>
        <w:t>民共和国职业分类大典》（参考网址：http://osta.mohrss.gov.cn/fenlei.html）技能类水平评价职业（工种）中，已颁布国家职业标准的，可根据高校专业设置申报对应职业（工种）。国家职业标准可在技能人才评价工作网查询，网址：</w:t>
      </w:r>
      <w:r>
        <w:rPr>
          <w:rFonts w:hint="default" w:ascii="Times New Roman" w:hAnsi="Times New Roman" w:eastAsia="仿宋_GB2312" w:cs="Times New Roman"/>
          <w:sz w:val="32"/>
          <w:szCs w:val="32"/>
          <w:lang w:val="en-US" w:eastAsia="zh-CN" w:bidi="ar-SA"/>
        </w:rPr>
        <w:t>http://biaozhun.osta.org.cn/。</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cs="仿宋_GB2312"/>
          <w:sz w:val="32"/>
          <w:szCs w:val="32"/>
          <w:lang w:eastAsia="zh-CN" w:bidi="ar-SA"/>
        </w:rPr>
      </w:pPr>
      <w:r>
        <w:rPr>
          <w:rFonts w:hint="eastAsia" w:ascii="楷体_GB2312" w:eastAsia="楷体_GB2312" w:cs="楷体_GB2312"/>
          <w:b/>
          <w:bCs/>
          <w:sz w:val="32"/>
          <w:szCs w:val="32"/>
          <w:lang w:eastAsia="zh-CN" w:bidi="ar-SA"/>
        </w:rPr>
        <w:t>（三）申报等级。</w:t>
      </w:r>
      <w:r>
        <w:rPr>
          <w:rFonts w:hint="eastAsia" w:ascii="仿宋_GB2312" w:eastAsia="仿宋_GB2312" w:cs="仿宋_GB2312"/>
          <w:sz w:val="32"/>
          <w:szCs w:val="32"/>
          <w:lang w:eastAsia="zh-CN" w:bidi="ar-SA"/>
        </w:rPr>
        <w:t>高校面向学生开展认定可申报高级工及以下等级。</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黑体" w:eastAsia="黑体" w:cs="黑体"/>
          <w:sz w:val="32"/>
          <w:szCs w:val="32"/>
          <w:lang w:eastAsia="zh-CN" w:bidi="ar-SA"/>
        </w:rPr>
      </w:pPr>
      <w:r>
        <w:rPr>
          <w:rFonts w:hint="eastAsia" w:ascii="黑体" w:eastAsia="黑体" w:cs="黑体"/>
          <w:sz w:val="32"/>
          <w:szCs w:val="32"/>
          <w:lang w:eastAsia="zh-CN" w:bidi="ar-SA"/>
        </w:rPr>
        <w:t>三、申报程序</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cs="仿宋_GB2312"/>
          <w:sz w:val="32"/>
          <w:szCs w:val="32"/>
          <w:lang w:eastAsia="zh-CN" w:bidi="ar-SA"/>
        </w:rPr>
      </w:pPr>
      <w:r>
        <w:rPr>
          <w:rFonts w:hint="eastAsia" w:ascii="楷体_GB2312" w:eastAsia="楷体_GB2312" w:cs="楷体_GB2312"/>
          <w:b/>
          <w:bCs/>
          <w:sz w:val="32"/>
          <w:szCs w:val="32"/>
          <w:lang w:eastAsia="zh-CN" w:bidi="ar-SA"/>
        </w:rPr>
        <w:t>（一）申报方式。</w:t>
      </w:r>
      <w:r>
        <w:rPr>
          <w:rFonts w:hint="eastAsia" w:ascii="仿宋_GB2312" w:eastAsia="仿宋_GB2312" w:cs="仿宋_GB2312"/>
          <w:sz w:val="32"/>
          <w:szCs w:val="32"/>
          <w:lang w:eastAsia="zh-CN" w:bidi="ar-SA"/>
        </w:rPr>
        <w:t>高校首次申报需登入浙江省职业能力一</w:t>
      </w:r>
      <w:r>
        <w:rPr>
          <w:rFonts w:hint="default" w:ascii="Times New Roman" w:hAnsi="Times New Roman" w:eastAsia="仿宋_GB2312" w:cs="Times New Roman"/>
          <w:sz w:val="32"/>
          <w:szCs w:val="32"/>
          <w:lang w:eastAsia="zh-CN" w:bidi="ar-SA"/>
        </w:rPr>
        <w:t>体化工作平台（zynl.rlsbt.zj.gov.cn），法</w:t>
      </w:r>
      <w:r>
        <w:rPr>
          <w:rFonts w:hint="eastAsia" w:ascii="仿宋_GB2312" w:eastAsia="仿宋_GB2312" w:cs="仿宋_GB2312"/>
          <w:sz w:val="32"/>
          <w:szCs w:val="32"/>
          <w:lang w:eastAsia="zh-CN" w:bidi="ar-SA"/>
        </w:rPr>
        <w:t>人登录后，进入本单位基本信息，点击“职业技能等级认定机构备案申请”</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w:t>
      </w:r>
      <w:r>
        <w:rPr>
          <w:rFonts w:hint="eastAsia" w:ascii="仿宋_GB2312" w:eastAsia="仿宋_GB2312" w:cs="仿宋_GB2312"/>
          <w:sz w:val="32"/>
          <w:szCs w:val="32"/>
          <w:lang w:eastAsia="zh-CN" w:bidi="ar-SA"/>
        </w:rPr>
        <w:t>“新增备案申请”，机构类型选择“用人单位”，机构分类选择“院校”，按照系统提示完成基本信息及职业等级填报，上传附件材料（需打包上传），申报至市职业资格指导服务中心。</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3" w:firstLineChars="200"/>
        <w:textAlignment w:val="auto"/>
        <w:rPr>
          <w:rFonts w:hint="eastAsia" w:ascii="楷体_GB2312" w:eastAsia="楷体_GB2312" w:cs="楷体_GB2312"/>
          <w:b/>
          <w:bCs/>
          <w:sz w:val="32"/>
          <w:szCs w:val="32"/>
          <w:lang w:eastAsia="zh-CN" w:bidi="ar-SA"/>
        </w:rPr>
      </w:pPr>
      <w:r>
        <w:rPr>
          <w:rFonts w:hint="eastAsia" w:ascii="楷体_GB2312" w:eastAsia="楷体_GB2312" w:cs="楷体_GB2312"/>
          <w:b/>
          <w:bCs/>
          <w:sz w:val="32"/>
          <w:szCs w:val="32"/>
          <w:lang w:eastAsia="zh-CN" w:bidi="ar-SA"/>
        </w:rPr>
        <w:t>（二）申报材料。</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bidi="ar-SA"/>
        </w:rPr>
      </w:pPr>
      <w:r>
        <w:rPr>
          <w:rFonts w:hint="default" w:ascii="Times New Roman" w:hAnsi="Times New Roman" w:eastAsia="仿宋_GB2312" w:cs="Times New Roman"/>
          <w:sz w:val="32"/>
          <w:szCs w:val="32"/>
          <w:lang w:eastAsia="zh-CN" w:bidi="ar-SA"/>
        </w:rPr>
        <w:t>1.浙江省高校职业技能等级认定申报表（附件1）;</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bidi="ar-SA"/>
        </w:rPr>
      </w:pPr>
      <w:r>
        <w:rPr>
          <w:rFonts w:hint="default" w:ascii="Times New Roman" w:hAnsi="Times New Roman" w:eastAsia="仿宋_GB2312" w:cs="Times New Roman"/>
          <w:sz w:val="32"/>
          <w:szCs w:val="32"/>
          <w:lang w:eastAsia="zh-CN" w:bidi="ar-SA"/>
        </w:rPr>
        <w:t>2.学校申报情况介绍（附件2）及其他佐证材料。</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eastAsia="zh-CN" w:bidi="ar-SA"/>
        </w:rPr>
      </w:pPr>
      <w:r>
        <w:rPr>
          <w:rFonts w:hint="default" w:ascii="Times New Roman" w:hAnsi="Times New Roman" w:eastAsia="楷体_GB2312" w:cs="Times New Roman"/>
          <w:b/>
          <w:bCs/>
          <w:sz w:val="32"/>
          <w:szCs w:val="32"/>
          <w:lang w:eastAsia="zh-CN" w:bidi="ar-SA"/>
        </w:rPr>
        <w:t>（三）技术评估。</w:t>
      </w:r>
      <w:r>
        <w:rPr>
          <w:rFonts w:hint="eastAsia" w:ascii="仿宋_GB2312" w:eastAsia="仿宋_GB2312" w:cs="仿宋_GB2312"/>
          <w:sz w:val="32"/>
          <w:szCs w:val="32"/>
          <w:lang w:eastAsia="zh-CN" w:bidi="ar-SA"/>
        </w:rPr>
        <w:t>市职业资格指导服务中心</w:t>
      </w:r>
      <w:r>
        <w:rPr>
          <w:rFonts w:hint="default" w:ascii="Times New Roman" w:hAnsi="Times New Roman" w:eastAsia="仿宋_GB2312" w:cs="Times New Roman"/>
          <w:sz w:val="32"/>
          <w:szCs w:val="32"/>
          <w:lang w:eastAsia="zh-CN" w:bidi="ar-SA"/>
        </w:rPr>
        <w:t>依据评估细则（附件3）组织技术评估，评估合</w:t>
      </w:r>
      <w:r>
        <w:rPr>
          <w:rFonts w:hint="default" w:ascii="Times New Roman" w:hAnsi="Times New Roman" w:eastAsia="仿宋_GB2312" w:cs="Times New Roman"/>
          <w:color w:val="auto"/>
          <w:sz w:val="32"/>
          <w:szCs w:val="32"/>
          <w:lang w:eastAsia="zh-CN" w:bidi="ar-SA"/>
        </w:rPr>
        <w:t>格的，报省技能人才评价管理服务中心</w:t>
      </w:r>
      <w:r>
        <w:rPr>
          <w:rFonts w:ascii="Times New Roman" w:hAnsi="Times New Roman" w:eastAsia="仿宋_GB2312" w:cs="Times New Roman"/>
          <w:color w:val="auto"/>
          <w:sz w:val="32"/>
          <w:szCs w:val="32"/>
          <w:lang w:eastAsia="zh-CN" w:bidi="ar-SA"/>
        </w:rPr>
        <w:t>和</w:t>
      </w:r>
      <w:r>
        <w:rPr>
          <w:rFonts w:hint="default" w:ascii="Times New Roman" w:hAnsi="Times New Roman" w:eastAsia="仿宋_GB2312" w:cs="Times New Roman"/>
          <w:color w:val="auto"/>
          <w:sz w:val="32"/>
          <w:szCs w:val="32"/>
          <w:lang w:eastAsia="zh-CN" w:bidi="ar-SA"/>
        </w:rPr>
        <w:t>人社部技能鉴定中心备案，经</w:t>
      </w:r>
      <w:r>
        <w:rPr>
          <w:rFonts w:hint="default" w:ascii="Times New Roman" w:hAnsi="Times New Roman" w:eastAsia="仿宋_GB2312" w:cs="Times New Roman"/>
          <w:sz w:val="32"/>
          <w:szCs w:val="32"/>
          <w:lang w:eastAsia="zh-CN" w:bidi="ar-SA"/>
        </w:rPr>
        <w:t>技能人才评价工作网公示后，可开展认定工作。</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黑体" w:eastAsia="黑体" w:cs="黑体"/>
          <w:sz w:val="32"/>
          <w:szCs w:val="32"/>
          <w:lang w:eastAsia="zh-CN" w:bidi="ar-SA"/>
        </w:rPr>
      </w:pPr>
      <w:r>
        <w:rPr>
          <w:rFonts w:hint="eastAsia" w:ascii="黑体" w:eastAsia="黑体" w:cs="黑体"/>
          <w:sz w:val="32"/>
          <w:szCs w:val="32"/>
          <w:lang w:eastAsia="zh-CN" w:bidi="ar-SA"/>
        </w:rPr>
        <w:t>四、有关要求</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lang w:eastAsia="zh-CN" w:bidi="ar-SA"/>
        </w:rPr>
      </w:pPr>
      <w:r>
        <w:rPr>
          <w:rFonts w:hint="eastAsia" w:ascii="仿宋_GB2312" w:eastAsia="仿宋_GB2312" w:cs="仿宋_GB2312"/>
          <w:sz w:val="32"/>
          <w:szCs w:val="32"/>
          <w:lang w:eastAsia="zh-CN" w:bidi="ar-SA"/>
        </w:rPr>
        <w:t>（一）各高校要按照“谁评价、谁发证、谁负责”的原则，切实履行等级认定主体责任，不断健全管理制度，完善考核设施设备，规范工作流程，确保评价质量。</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auto"/>
          <w:sz w:val="32"/>
          <w:szCs w:val="32"/>
          <w:lang w:eastAsia="zh-CN" w:bidi="ar-SA"/>
        </w:rPr>
      </w:pPr>
      <w:r>
        <w:rPr>
          <w:rFonts w:hint="eastAsia" w:ascii="仿宋_GB2312" w:eastAsia="仿宋_GB2312" w:cs="仿宋_GB2312"/>
          <w:color w:val="auto"/>
          <w:sz w:val="32"/>
          <w:szCs w:val="32"/>
          <w:lang w:eastAsia="zh-CN" w:bidi="ar-SA"/>
        </w:rPr>
        <w:t>（二）各高校</w:t>
      </w:r>
      <w:r>
        <w:rPr>
          <w:rFonts w:hint="default" w:ascii="仿宋_GB2312" w:eastAsia="仿宋_GB2312" w:cs="仿宋_GB2312"/>
          <w:color w:val="auto"/>
          <w:sz w:val="32"/>
          <w:szCs w:val="32"/>
          <w:lang w:eastAsia="zh-CN" w:bidi="ar-SA"/>
        </w:rPr>
        <w:t>要结合本校重点学科和学生培养要求，稳步开展职业技能等级认定工作，申请</w:t>
      </w:r>
      <w:r>
        <w:rPr>
          <w:rFonts w:hint="eastAsia" w:ascii="仿宋_GB2312" w:eastAsia="仿宋_GB2312" w:cs="仿宋_GB2312"/>
          <w:color w:val="auto"/>
          <w:sz w:val="32"/>
          <w:szCs w:val="32"/>
          <w:lang w:eastAsia="zh-CN" w:bidi="ar-SA"/>
        </w:rPr>
        <w:t>首次开展职业技能等级认定前，需按照省市技能评价</w:t>
      </w:r>
      <w:r>
        <w:rPr>
          <w:rFonts w:hint="default" w:ascii="仿宋_GB2312" w:eastAsia="仿宋_GB2312" w:cs="仿宋_GB2312"/>
          <w:color w:val="auto"/>
          <w:sz w:val="32"/>
          <w:szCs w:val="32"/>
          <w:lang w:eastAsia="zh-CN" w:bidi="ar-SA"/>
        </w:rPr>
        <w:t>工作</w:t>
      </w:r>
      <w:r>
        <w:rPr>
          <w:rFonts w:hint="eastAsia" w:ascii="仿宋_GB2312" w:eastAsia="仿宋_GB2312" w:cs="仿宋_GB2312"/>
          <w:color w:val="auto"/>
          <w:sz w:val="32"/>
          <w:szCs w:val="32"/>
          <w:lang w:eastAsia="zh-CN" w:bidi="ar-SA"/>
        </w:rPr>
        <w:t>有关要求，做好职业（工种）题库资源的开发评估工作。</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bidi="ar-SA"/>
        </w:rPr>
      </w:pPr>
      <w:r>
        <w:rPr>
          <w:rFonts w:hint="default" w:ascii="Times New Roman" w:hAnsi="Times New Roman" w:eastAsia="仿宋_GB2312" w:cs="Times New Roman"/>
          <w:sz w:val="32"/>
          <w:szCs w:val="32"/>
          <w:lang w:eastAsia="zh-CN" w:bidi="ar-SA"/>
        </w:rPr>
        <w:t>（</w:t>
      </w:r>
      <w:r>
        <w:rPr>
          <w:rFonts w:hint="eastAsia" w:ascii="Times New Roman" w:hAnsi="Times New Roman" w:eastAsia="仿宋_GB2312" w:cs="Times New Roman"/>
          <w:sz w:val="32"/>
          <w:szCs w:val="32"/>
          <w:lang w:eastAsia="zh-CN" w:bidi="ar-SA"/>
        </w:rPr>
        <w:t>三</w:t>
      </w:r>
      <w:r>
        <w:rPr>
          <w:rFonts w:hint="default" w:ascii="Times New Roman" w:hAnsi="Times New Roman" w:eastAsia="仿宋_GB2312" w:cs="Times New Roman"/>
          <w:sz w:val="32"/>
          <w:szCs w:val="32"/>
          <w:lang w:eastAsia="zh-CN" w:bidi="ar-SA"/>
        </w:rPr>
        <w:t>）</w:t>
      </w:r>
      <w:r>
        <w:rPr>
          <w:rFonts w:hint="eastAsia" w:ascii="Times New Roman" w:hAnsi="Times New Roman" w:eastAsia="仿宋_GB2312" w:cs="Times New Roman"/>
          <w:sz w:val="32"/>
          <w:szCs w:val="32"/>
          <w:lang w:eastAsia="zh-CN" w:bidi="ar-SA"/>
        </w:rPr>
        <w:t>各</w:t>
      </w:r>
      <w:r>
        <w:rPr>
          <w:rFonts w:hint="default" w:ascii="Times New Roman" w:hAnsi="Times New Roman" w:eastAsia="仿宋_GB2312" w:cs="Times New Roman"/>
          <w:sz w:val="32"/>
          <w:szCs w:val="32"/>
          <w:lang w:eastAsia="zh-CN" w:bidi="ar-SA"/>
        </w:rPr>
        <w:t>高校直接向市职业资格指导服务中心申报，</w:t>
      </w:r>
      <w:r>
        <w:rPr>
          <w:rFonts w:hint="default" w:ascii="Times New Roman" w:hAnsi="Times New Roman" w:eastAsia="仿宋_GB2312" w:cs="Times New Roman"/>
          <w:sz w:val="32"/>
          <w:szCs w:val="32"/>
          <w:lang w:val="en-US" w:eastAsia="zh-CN" w:bidi="ar-SA"/>
        </w:rPr>
        <w:t>2023年申报时间：2023年9月</w:t>
      </w:r>
      <w:r>
        <w:rPr>
          <w:rFonts w:hint="default" w:ascii="Times New Roman" w:hAnsi="Times New Roman" w:eastAsia="仿宋_GB2312" w:cs="Times New Roman"/>
          <w:sz w:val="32"/>
          <w:szCs w:val="32"/>
          <w:lang w:eastAsia="zh-CN" w:bidi="ar-SA"/>
        </w:rPr>
        <w:t>2</w:t>
      </w:r>
      <w:r>
        <w:rPr>
          <w:rFonts w:hint="eastAsia" w:ascii="Times New Roman" w:hAnsi="Times New Roman" w:eastAsia="仿宋_GB2312" w:cs="Times New Roman"/>
          <w:sz w:val="32"/>
          <w:szCs w:val="32"/>
          <w:lang w:val="en-US" w:eastAsia="zh-CN" w:bidi="ar-SA"/>
        </w:rPr>
        <w:t>1</w:t>
      </w:r>
      <w:r>
        <w:rPr>
          <w:rFonts w:hint="default" w:ascii="Times New Roman" w:hAnsi="Times New Roman" w:eastAsia="仿宋_GB2312" w:cs="Times New Roman"/>
          <w:sz w:val="32"/>
          <w:szCs w:val="32"/>
          <w:lang w:val="en-US" w:eastAsia="zh-CN" w:bidi="ar-SA"/>
        </w:rPr>
        <w:t>日至10月</w:t>
      </w:r>
      <w:r>
        <w:rPr>
          <w:rFonts w:hint="default" w:ascii="Times New Roman" w:hAnsi="Times New Roman" w:eastAsia="仿宋_GB2312" w:cs="Times New Roman"/>
          <w:sz w:val="32"/>
          <w:szCs w:val="32"/>
          <w:lang w:eastAsia="zh-CN" w:bidi="ar-SA"/>
        </w:rPr>
        <w:t>20</w:t>
      </w:r>
      <w:r>
        <w:rPr>
          <w:rFonts w:hint="default" w:ascii="Times New Roman" w:hAnsi="Times New Roman" w:eastAsia="仿宋_GB2312" w:cs="Times New Roman"/>
          <w:sz w:val="32"/>
          <w:szCs w:val="32"/>
          <w:lang w:val="en-US" w:eastAsia="zh-CN" w:bidi="ar-SA"/>
        </w:rPr>
        <w:t>日。</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lang w:eastAsia="zh-CN" w:bidi="ar-SA"/>
        </w:rPr>
      </w:pPr>
      <w:r>
        <w:rPr>
          <w:rFonts w:hint="eastAsia" w:ascii="仿宋_GB2312" w:eastAsia="仿宋_GB2312" w:cs="仿宋_GB2312"/>
          <w:sz w:val="32"/>
          <w:szCs w:val="32"/>
          <w:lang w:eastAsia="zh-CN" w:bidi="ar-SA"/>
        </w:rPr>
        <w:t>联</w:t>
      </w:r>
      <w:r>
        <w:rPr>
          <w:rFonts w:hint="eastAsia" w:ascii="仿宋_GB2312" w:eastAsia="仿宋_GB2312" w:cs="仿宋_GB2312"/>
          <w:sz w:val="32"/>
          <w:szCs w:val="32"/>
          <w:lang w:val="en-US" w:eastAsia="zh-CN" w:bidi="ar-SA"/>
        </w:rPr>
        <w:t xml:space="preserve"> </w:t>
      </w:r>
      <w:r>
        <w:rPr>
          <w:rFonts w:hint="eastAsia" w:ascii="仿宋_GB2312" w:eastAsia="仿宋_GB2312" w:cs="仿宋_GB2312"/>
          <w:sz w:val="32"/>
          <w:szCs w:val="32"/>
          <w:lang w:eastAsia="zh-CN" w:bidi="ar-SA"/>
        </w:rPr>
        <w:t>系</w:t>
      </w:r>
      <w:r>
        <w:rPr>
          <w:rFonts w:hint="eastAsia" w:ascii="仿宋_GB2312" w:eastAsia="仿宋_GB2312" w:cs="仿宋_GB2312"/>
          <w:sz w:val="32"/>
          <w:szCs w:val="32"/>
          <w:lang w:val="en-US" w:eastAsia="zh-CN" w:bidi="ar-SA"/>
        </w:rPr>
        <w:t xml:space="preserve"> </w:t>
      </w:r>
      <w:r>
        <w:rPr>
          <w:rFonts w:hint="eastAsia" w:ascii="仿宋_GB2312" w:eastAsia="仿宋_GB2312" w:cs="仿宋_GB2312"/>
          <w:sz w:val="32"/>
          <w:szCs w:val="32"/>
          <w:lang w:eastAsia="zh-CN" w:bidi="ar-SA"/>
        </w:rPr>
        <w:t>人：施玉琴、毛天鹏。</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bidi="ar-SA"/>
        </w:rPr>
      </w:pPr>
      <w:r>
        <w:rPr>
          <w:rFonts w:hint="default" w:ascii="Times New Roman" w:hAnsi="Times New Roman" w:eastAsia="仿宋_GB2312" w:cs="Times New Roman"/>
          <w:sz w:val="32"/>
          <w:szCs w:val="32"/>
          <w:lang w:eastAsia="zh-CN" w:bidi="ar-SA"/>
        </w:rPr>
        <w:t>联系电话：</w:t>
      </w:r>
      <w:r>
        <w:rPr>
          <w:rFonts w:hint="default" w:ascii="Times New Roman" w:hAnsi="Times New Roman" w:eastAsia="仿宋_GB2312" w:cs="Times New Roman"/>
          <w:sz w:val="32"/>
          <w:szCs w:val="32"/>
          <w:lang w:val="en-US" w:eastAsia="zh-CN" w:bidi="ar-SA"/>
        </w:rPr>
        <w:t>0572-2051163，2056951。</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bidi="ar-SA"/>
        </w:rPr>
      </w:pPr>
    </w:p>
    <w:p>
      <w:pPr>
        <w:pStyle w:val="11"/>
        <w:keepNext w:val="0"/>
        <w:keepLines w:val="0"/>
        <w:pageBreakBefore w:val="0"/>
        <w:widowControl w:val="0"/>
        <w:kinsoku/>
        <w:overflowPunct/>
        <w:topLinePunct w:val="0"/>
        <w:autoSpaceDE w:val="0"/>
        <w:autoSpaceDN w:val="0"/>
        <w:bidi w:val="0"/>
        <w:spacing w:line="620" w:lineRule="exact"/>
        <w:ind w:firstLine="640"/>
        <w:textAlignment w:val="auto"/>
        <w:rPr>
          <w:rFonts w:hint="default" w:ascii="Times New Roman" w:hAnsi="Times New Roman" w:cs="Times New Roman"/>
          <w:color w:val="auto"/>
          <w:sz w:val="32"/>
          <w:szCs w:val="32"/>
          <w:lang w:val="en-US" w:eastAsia="zh-CN" w:bidi="ar-SA"/>
        </w:rPr>
      </w:pPr>
      <w:r>
        <w:rPr>
          <w:rFonts w:hint="eastAsia" w:ascii="Times New Roman" w:hAnsi="Times New Roman" w:eastAsia="仿宋_GB2312" w:cs="Times New Roman"/>
          <w:sz w:val="32"/>
          <w:szCs w:val="32"/>
          <w:lang w:val="en-US" w:eastAsia="zh-CN" w:bidi="ar-SA"/>
        </w:rPr>
        <w:t>附件：</w:t>
      </w:r>
      <w:r>
        <w:rPr>
          <w:rFonts w:hint="default" w:ascii="Times New Roman" w:hAnsi="Times New Roman" w:cs="Times New Roman"/>
          <w:color w:val="auto"/>
          <w:sz w:val="32"/>
          <w:szCs w:val="32"/>
          <w:lang w:val="en-US" w:eastAsia="zh-CN" w:bidi="ar-SA"/>
        </w:rPr>
        <w:t>1.浙江省高校技能等级认定申报表</w:t>
      </w:r>
    </w:p>
    <w:p>
      <w:pPr>
        <w:pStyle w:val="11"/>
        <w:keepNext w:val="0"/>
        <w:keepLines w:val="0"/>
        <w:pageBreakBefore w:val="0"/>
        <w:widowControl w:val="0"/>
        <w:kinsoku/>
        <w:overflowPunct/>
        <w:topLinePunct w:val="0"/>
        <w:autoSpaceDE w:val="0"/>
        <w:autoSpaceDN w:val="0"/>
        <w:bidi w:val="0"/>
        <w:spacing w:line="620" w:lineRule="exact"/>
        <w:ind w:firstLine="1612" w:firstLineChars="504"/>
        <w:textAlignment w:val="auto"/>
        <w:rPr>
          <w:rFonts w:hint="default" w:ascii="Times New Roman" w:hAnsi="Times New Roman" w:cs="Times New Roman"/>
          <w:color w:val="000000"/>
          <w:kern w:val="0"/>
          <w:sz w:val="32"/>
          <w:szCs w:val="32"/>
          <w:u w:val="none"/>
          <w:lang w:val="en-US" w:eastAsia="zh-CN" w:bidi="ar"/>
        </w:rPr>
      </w:pPr>
      <w:r>
        <w:rPr>
          <w:rFonts w:hint="default" w:ascii="Times New Roman" w:hAnsi="Times New Roman" w:cs="Times New Roman"/>
          <w:color w:val="000000"/>
          <w:kern w:val="0"/>
          <w:sz w:val="32"/>
          <w:szCs w:val="32"/>
          <w:u w:val="none"/>
          <w:lang w:val="en-US" w:eastAsia="zh-CN" w:bidi="ar"/>
        </w:rPr>
        <w:t>2.等级认定申报情况介绍模板</w:t>
      </w:r>
    </w:p>
    <w:p>
      <w:pPr>
        <w:pStyle w:val="11"/>
        <w:keepNext w:val="0"/>
        <w:keepLines w:val="0"/>
        <w:pageBreakBefore w:val="0"/>
        <w:widowControl w:val="0"/>
        <w:kinsoku/>
        <w:overflowPunct/>
        <w:topLinePunct w:val="0"/>
        <w:autoSpaceDE w:val="0"/>
        <w:autoSpaceDN w:val="0"/>
        <w:bidi w:val="0"/>
        <w:spacing w:line="620" w:lineRule="exact"/>
        <w:ind w:firstLine="1612" w:firstLineChars="504"/>
        <w:textAlignment w:val="auto"/>
        <w:rPr>
          <w:rFonts w:hint="eastAsia" w:ascii="仿宋_GB2312" w:eastAsia="仿宋_GB2312" w:cs="仿宋_GB2312"/>
          <w:color w:val="000000"/>
          <w:kern w:val="0"/>
          <w:sz w:val="32"/>
          <w:szCs w:val="32"/>
          <w:u w:val="none"/>
          <w:lang w:val="en-US" w:eastAsia="zh-CN" w:bidi="ar"/>
        </w:rPr>
      </w:pPr>
      <w:r>
        <w:rPr>
          <w:rFonts w:hint="default" w:ascii="Times New Roman" w:hAnsi="Times New Roman" w:cs="Times New Roman"/>
          <w:color w:val="000000"/>
          <w:kern w:val="0"/>
          <w:sz w:val="32"/>
          <w:szCs w:val="32"/>
          <w:u w:val="none"/>
          <w:lang w:val="en-US" w:eastAsia="zh-CN" w:bidi="ar"/>
        </w:rPr>
        <w:t>3</w:t>
      </w:r>
      <w:r>
        <w:rPr>
          <w:rFonts w:hint="default" w:ascii="Times New Roman" w:hAnsi="Times New Roman" w:eastAsia="仿宋_GB2312" w:cs="Times New Roman"/>
          <w:color w:val="000000"/>
          <w:kern w:val="0"/>
          <w:sz w:val="32"/>
          <w:szCs w:val="32"/>
          <w:u w:val="none"/>
          <w:lang w:val="en-US" w:eastAsia="zh-CN" w:bidi="ar"/>
        </w:rPr>
        <w:t>.高校职业技能等级</w:t>
      </w:r>
      <w:r>
        <w:rPr>
          <w:rFonts w:hint="eastAsia" w:ascii="仿宋_GB2312" w:eastAsia="仿宋_GB2312" w:cs="仿宋_GB2312"/>
          <w:color w:val="000000"/>
          <w:kern w:val="0"/>
          <w:sz w:val="32"/>
          <w:szCs w:val="32"/>
          <w:u w:val="none"/>
          <w:lang w:val="en-US" w:eastAsia="zh-CN" w:bidi="ar"/>
        </w:rPr>
        <w:t>认定评估细则（试行）</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bidi="ar-SA"/>
        </w:rPr>
      </w:pP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bidi="ar-SA"/>
        </w:rPr>
      </w:pP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bidi="ar-SA"/>
        </w:rPr>
      </w:pP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bidi="ar-SA"/>
        </w:rPr>
      </w:pPr>
    </w:p>
    <w:p>
      <w:pPr>
        <w:pStyle w:val="11"/>
        <w:keepNext w:val="0"/>
        <w:keepLines w:val="0"/>
        <w:pageBreakBefore w:val="0"/>
        <w:widowControl w:val="0"/>
        <w:kinsoku/>
        <w:overflowPunct/>
        <w:topLinePunct w:val="0"/>
        <w:autoSpaceDE w:val="0"/>
        <w:autoSpaceDN w:val="0"/>
        <w:bidi w:val="0"/>
        <w:spacing w:line="620" w:lineRule="exact"/>
        <w:jc w:val="right"/>
        <w:textAlignment w:val="auto"/>
        <w:rPr>
          <w:rFonts w:hint="eastAsia" w:ascii="仿宋_GB2312" w:eastAsia="仿宋_GB2312" w:cs="仿宋_GB2312"/>
          <w:sz w:val="32"/>
          <w:szCs w:val="32"/>
          <w:lang w:val="en-US" w:eastAsia="zh-CN" w:bidi="ar-SA"/>
        </w:rPr>
      </w:pPr>
      <w:r>
        <w:rPr>
          <w:rFonts w:hint="eastAsia" w:cs="仿宋_GB2312"/>
          <w:sz w:val="32"/>
          <w:szCs w:val="32"/>
          <w:lang w:val="en-US" w:eastAsia="zh-CN" w:bidi="ar-SA"/>
        </w:rPr>
        <w:t>湖州市职业资格指导服务中心</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bidi="ar-SA"/>
        </w:rPr>
      </w:pPr>
      <w:r>
        <w:rPr>
          <w:rFonts w:hint="eastAsia" w:ascii="Times New Roman" w:hAnsi="Times New Roman" w:cs="Times New Roman"/>
          <w:sz w:val="32"/>
          <w:szCs w:val="32"/>
          <w:lang w:val="en-US" w:eastAsia="zh-CN" w:bidi="ar-SA"/>
        </w:rPr>
        <w:t xml:space="preserve">                                 </w:t>
      </w:r>
      <w:r>
        <w:rPr>
          <w:rFonts w:hint="default" w:ascii="Times New Roman" w:hAnsi="Times New Roman" w:eastAsia="仿宋_GB2312" w:cs="Times New Roman"/>
          <w:sz w:val="32"/>
          <w:szCs w:val="32"/>
          <w:lang w:val="en-US" w:eastAsia="zh-CN" w:bidi="ar-SA"/>
        </w:rPr>
        <w:t>2023</w:t>
      </w:r>
      <w:r>
        <w:rPr>
          <w:rFonts w:hint="eastAsia" w:ascii="仿宋_GB2312" w:eastAsia="仿宋_GB2312" w:cs="仿宋_GB2312"/>
          <w:sz w:val="32"/>
          <w:szCs w:val="32"/>
          <w:lang w:val="en-US" w:eastAsia="zh-CN" w:bidi="ar-SA"/>
        </w:rPr>
        <w:t>年</w:t>
      </w:r>
      <w:r>
        <w:rPr>
          <w:rFonts w:hint="eastAsia" w:ascii="Times New Roman" w:hAnsi="Times New Roman" w:cs="Times New Roman"/>
          <w:sz w:val="32"/>
          <w:szCs w:val="32"/>
          <w:lang w:val="en-US" w:eastAsia="zh-CN" w:bidi="ar-SA"/>
        </w:rPr>
        <w:t>9</w:t>
      </w:r>
      <w:r>
        <w:rPr>
          <w:rFonts w:hint="default" w:ascii="Times New Roman" w:hAnsi="Times New Roman" w:eastAsia="仿宋_GB2312" w:cs="Times New Roman"/>
          <w:sz w:val="32"/>
          <w:szCs w:val="32"/>
          <w:lang w:val="en-US" w:eastAsia="zh-CN" w:bidi="ar-SA"/>
        </w:rPr>
        <w:t>月</w:t>
      </w:r>
      <w:r>
        <w:rPr>
          <w:rFonts w:hint="eastAsia" w:ascii="Times New Roman" w:hAnsi="Times New Roman" w:eastAsia="仿宋_GB2312" w:cs="Times New Roman"/>
          <w:sz w:val="32"/>
          <w:szCs w:val="32"/>
          <w:lang w:val="en-US" w:eastAsia="zh-CN" w:bidi="ar-SA"/>
        </w:rPr>
        <w:t>20</w:t>
      </w:r>
      <w:r>
        <w:rPr>
          <w:rFonts w:hint="default" w:ascii="Times New Roman" w:hAnsi="Times New Roman" w:eastAsia="仿宋_GB2312" w:cs="Times New Roman"/>
          <w:sz w:val="32"/>
          <w:szCs w:val="32"/>
          <w:lang w:val="en-US" w:eastAsia="zh-CN" w:bidi="ar-SA"/>
        </w:rPr>
        <w:t>日</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bidi="ar-SA"/>
        </w:rPr>
      </w:pP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bidi="ar-SA"/>
        </w:rPr>
      </w:pPr>
    </w:p>
    <w:p>
      <w:pPr>
        <w:pStyle w:val="2"/>
        <w:rPr>
          <w:rFonts w:hint="eastAsia" w:ascii="Times New Roman" w:hAnsi="Times New Roman" w:eastAsia="仿宋_GB2312" w:cs="Times New Roman"/>
          <w:sz w:val="32"/>
          <w:szCs w:val="32"/>
          <w:lang w:val="en-US" w:eastAsia="zh-CN" w:bidi="ar-SA"/>
        </w:rPr>
      </w:pPr>
    </w:p>
    <w:p>
      <w:pPr>
        <w:pStyle w:val="3"/>
        <w:rPr>
          <w:rFonts w:hint="eastAsia" w:ascii="Times New Roman" w:hAnsi="Times New Roman" w:eastAsia="仿宋_GB2312" w:cs="Times New Roman"/>
          <w:sz w:val="32"/>
          <w:szCs w:val="32"/>
          <w:lang w:val="en-US" w:eastAsia="zh-CN" w:bidi="ar-SA"/>
        </w:rPr>
      </w:pPr>
    </w:p>
    <w:p>
      <w:pPr>
        <w:rPr>
          <w:rFonts w:hint="eastAsia" w:ascii="Times New Roman" w:hAnsi="Times New Roman" w:eastAsia="仿宋_GB2312" w:cs="Times New Roman"/>
          <w:sz w:val="32"/>
          <w:szCs w:val="32"/>
          <w:lang w:val="en-US" w:eastAsia="zh-CN" w:bidi="ar-SA"/>
        </w:rPr>
      </w:pPr>
    </w:p>
    <w:p>
      <w:pPr>
        <w:pStyle w:val="2"/>
        <w:rPr>
          <w:rFonts w:hint="eastAsia"/>
          <w:lang w:val="en-US" w:eastAsia="zh-CN"/>
        </w:rPr>
      </w:pP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bidi="ar-SA"/>
        </w:rPr>
      </w:pPr>
    </w:p>
    <w:p>
      <w:pPr>
        <w:keepNext w:val="0"/>
        <w:keepLines w:val="0"/>
        <w:widowControl/>
        <w:suppressLineNumbers w:val="0"/>
        <w:suppressAutoHyphens/>
        <w:jc w:val="center"/>
        <w:textAlignment w:val="center"/>
        <w:rPr>
          <w:rFonts w:hint="eastAsia" w:ascii="方正小标宋简体" w:eastAsia="方正小标宋简体" w:cs="方正小标宋简体"/>
          <w:color w:val="000000"/>
          <w:kern w:val="0"/>
          <w:sz w:val="44"/>
          <w:szCs w:val="44"/>
          <w:u w:val="none"/>
          <w:lang w:val="en-US" w:eastAsia="zh-CN" w:bidi="ar"/>
        </w:rPr>
      </w:pPr>
    </w:p>
    <w:p>
      <w:pPr>
        <w:keepNext w:val="0"/>
        <w:keepLines w:val="0"/>
        <w:pageBreakBefore w:val="0"/>
        <w:widowControl/>
        <w:suppressLineNumbers w:val="0"/>
        <w:suppressAutoHyphens/>
        <w:kinsoku/>
        <w:wordWrap/>
        <w:overflowPunct/>
        <w:topLinePunct w:val="0"/>
        <w:autoSpaceDE/>
        <w:autoSpaceDN/>
        <w:bidi w:val="0"/>
        <w:adjustRightInd/>
        <w:spacing w:line="620" w:lineRule="exact"/>
        <w:jc w:val="both"/>
        <w:textAlignment w:val="center"/>
        <w:rPr>
          <w:rFonts w:hint="eastAsia" w:ascii="黑体" w:eastAsia="黑体" w:cs="黑体"/>
          <w:color w:val="000000"/>
          <w:sz w:val="32"/>
          <w:szCs w:val="32"/>
          <w:u w:val="none"/>
          <w:lang w:eastAsia="zh-CN" w:bidi="ar-SA"/>
        </w:rPr>
      </w:pPr>
    </w:p>
    <w:p>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2ZmE5NWY4ZjMwYmJmYWNlOWEzMmQwY2UwMGIwOWYifQ=="/>
  </w:docVars>
  <w:rsids>
    <w:rsidRoot w:val="02E57044"/>
    <w:rsid w:val="02E57044"/>
    <w:rsid w:val="048E56D2"/>
    <w:rsid w:val="06632F50"/>
    <w:rsid w:val="070C7765"/>
    <w:rsid w:val="20AE453A"/>
    <w:rsid w:val="257A69CF"/>
    <w:rsid w:val="292F634C"/>
    <w:rsid w:val="32204D5A"/>
    <w:rsid w:val="35066D6A"/>
    <w:rsid w:val="3BD5676B"/>
    <w:rsid w:val="52E766CD"/>
    <w:rsid w:val="55F1104E"/>
    <w:rsid w:val="6C476DC6"/>
    <w:rsid w:val="6D2233F7"/>
    <w:rsid w:val="77E14B40"/>
    <w:rsid w:val="7B1C6340"/>
    <w:rsid w:val="7EAE1F28"/>
    <w:rsid w:val="7F5C1E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600" w:lineRule="exact"/>
      <w:jc w:val="center"/>
      <w:outlineLvl w:val="0"/>
    </w:pPr>
    <w:rPr>
      <w:rFonts w:eastAsia="方正小标宋简体" w:asciiTheme="minorAscii" w:hAnsiTheme="minorAscii"/>
      <w:b/>
      <w:kern w:val="44"/>
      <w:sz w:val="44"/>
    </w:rPr>
  </w:style>
  <w:style w:type="paragraph" w:styleId="5">
    <w:name w:val="heading 2"/>
    <w:basedOn w:val="1"/>
    <w:next w:val="1"/>
    <w:semiHidden/>
    <w:unhideWhenUsed/>
    <w:qFormat/>
    <w:uiPriority w:val="0"/>
    <w:pPr>
      <w:keepNext/>
      <w:keepLines/>
      <w:spacing w:before="260" w:beforeLines="0" w:beforeAutospacing="0" w:after="260" w:afterLines="0" w:afterAutospacing="0" w:line="580" w:lineRule="exact"/>
      <w:ind w:firstLine="883" w:firstLineChars="200"/>
      <w:outlineLvl w:val="1"/>
    </w:pPr>
    <w:rPr>
      <w:rFonts w:ascii="Arial" w:hAnsi="Arial" w:eastAsia="黑体"/>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szCs w:val="18"/>
    </w:rPr>
  </w:style>
  <w:style w:type="paragraph" w:styleId="3">
    <w:name w:val="index 5"/>
    <w:basedOn w:val="1"/>
    <w:next w:val="1"/>
    <w:qFormat/>
    <w:uiPriority w:val="0"/>
    <w:pPr>
      <w:ind w:left="1680"/>
      <w:jc w:val="center"/>
    </w:p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Hyperlink"/>
    <w:basedOn w:val="8"/>
    <w:uiPriority w:val="0"/>
    <w:rPr>
      <w:color w:val="0000FF"/>
      <w:u w:val="single"/>
    </w:rPr>
  </w:style>
  <w:style w:type="paragraph" w:customStyle="1" w:styleId="10">
    <w:name w:val="样式1"/>
    <w:basedOn w:val="1"/>
    <w:qFormat/>
    <w:uiPriority w:val="0"/>
    <w:pPr>
      <w:adjustRightInd w:val="0"/>
      <w:spacing w:line="580" w:lineRule="exact"/>
      <w:ind w:firstLine="640" w:firstLineChars="200"/>
    </w:pPr>
    <w:rPr>
      <w:rFonts w:hint="eastAsia" w:ascii="仿宋_GB2312" w:hAnsi="仿宋_GB2312" w:eastAsia="仿宋_GB2312" w:cs="仿宋_GB2312"/>
      <w:sz w:val="32"/>
      <w:szCs w:val="32"/>
    </w:rPr>
  </w:style>
  <w:style w:type="paragraph" w:customStyle="1" w:styleId="11">
    <w:name w:val="Default"/>
    <w:qFormat/>
    <w:uiPriority w:val="0"/>
    <w:pPr>
      <w:widowControl w:val="0"/>
      <w:autoSpaceDE w:val="0"/>
      <w:autoSpaceDN w:val="0"/>
      <w:adjustRightInd w:val="0"/>
    </w:pPr>
    <w:rPr>
      <w:rFonts w:ascii="仿宋_GB2312" w:hAnsi="Times New Roman" w:eastAsia="仿宋_GB2312"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2023-10-09T07:54:00Z</dcterms:created>
  <dc:creator>男同学</dc:creator>
  <cp:lastModifiedBy>USER</cp:lastModifiedBy>
  <dcterms:modified xsi:type="dcterms:W3CDTF">2023-10-10T01:51:48Z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1377BC1C5D3D478FA2F7FFC3DC680985_11</vt:lpwstr>
  </property>
</Properties>
</file>