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件2</w:t>
      </w:r>
    </w:p>
    <w:p>
      <w:pPr>
        <w:spacing w:line="400" w:lineRule="exact"/>
        <w:jc w:val="center"/>
        <w:rPr>
          <w:rFonts w:hint="eastAsia" w:ascii="Times New Roman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黑体" w:eastAsia="黑体" w:cs="Times New Roman"/>
          <w:b/>
          <w:bCs/>
          <w:sz w:val="36"/>
          <w:szCs w:val="36"/>
          <w:lang w:val="en-US" w:eastAsia="zh-CN"/>
        </w:rPr>
        <w:t>比赛评判及评判标准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一、团队部分：（共100分）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（1）审题（20分）：准确把握辩题内涵和外延，对所持立场能多层次、多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角度理解，论点鲜明对本方难点有效处理和化解。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辩驳（30分）：对辩题的理解和论述能在广度上展开，在深度上推进，整个辩论赛过程条理清晰，能给人以层层递推的美感。抓问要抓住对方要害，问题要简单明了，回答问题有理有据。注重针对辩题正面交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（3）配合（30分）：具有团队精神，队员间相互支持配合。辩论衔接流畅，方向统一。攻守兼备，机智、辩才、反驳和反应能力强。自由辩论时发言错落有致，体现“流动的具体意识”。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（4）语言（10分）：普通话标准，语言抑扬顿挫，流畅富于感染力，体现国语优美。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辩风和形象（10分）：比赛中尊重对手，尊重主席、评委和观众。举止得体，显示良好的道德修养。敢于创新，勇于表现，具有本队特有的风格，并贯穿全局。着装整齐，仪表大方，体现出良好的风度和气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二、个人部分：（共50分）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由评委根据每位辩手在整场比赛中的表现给出印象分，可参考：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论点明晰,论据充足,引证恰当没,分析透彻。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（2）迅速抓住对方观点及失误,驳论精道,切中要害。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（3）反应敏捷,应对能力强,恰当把握现场气氛。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（4）语言表达清晰,流畅;层次清楚,逻辑严密。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（5）表情丰富,仪态端庄,风度幽雅,幽默洒脱。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三、扣分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凡审题、论证、辩驳、配合、综合印象项目中，有不符合评判要求和违规的，均可酌情扣分，由于参赛队伍自身原因造成的突发事件影响了比赛的，由评判团决定，在其累计总分中扣除5％—10％。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四、胜负判定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（1）评委打分的分数相加取平均值，为该队得分。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（2）参赛两队中总计得分居高的一队取胜。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（3）如果两队得分相同，则由评判团另行投票，决定胜负。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（4）评委打分的分数相加取平均值，为该参赛队员的得分，如果两队员得分相同，则由评判团另行投票，决定优秀辩手和最佳辩手的人选。</w:t>
      </w:r>
    </w:p>
    <w:p>
      <w:pPr>
        <w:pStyle w:val="2"/>
        <w:widowControl/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82B1DF"/>
    <w:multiLevelType w:val="singleLevel"/>
    <w:tmpl w:val="F582B1D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76A6"/>
    <w:rsid w:val="07F476A6"/>
    <w:rsid w:val="10A01845"/>
    <w:rsid w:val="22C045DA"/>
    <w:rsid w:val="3E7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2021-05-13T02:49:00Z</dcterms:created>
  <dc:creator>nJ.</dc:creator>
  <cp:lastModifiedBy>zhuweiwei</cp:lastModifiedBy>
  <dcterms:modified xsi:type="dcterms:W3CDTF">2021-05-14T06:50:00Z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EE1356F8B80F489C99131AC784AA6465</vt:lpwstr>
  </property>
</Properties>
</file>